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C38AE" w14:textId="5D534A6E" w:rsidR="00A2598D" w:rsidRPr="00AE3483" w:rsidRDefault="00A2598D" w:rsidP="00D02EC7">
      <w:pPr>
        <w:jc w:val="both"/>
        <w:rPr>
          <w:rFonts w:ascii="Trebuchet MS" w:hAnsi="Trebuchet MS"/>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6311"/>
      </w:tblGrid>
      <w:tr w:rsidR="0017794B" w:rsidRPr="00AE3483" w14:paraId="7D371104" w14:textId="77777777" w:rsidTr="00707875">
        <w:trPr>
          <w:trHeight w:val="1239"/>
        </w:trPr>
        <w:tc>
          <w:tcPr>
            <w:tcW w:w="2547" w:type="dxa"/>
            <w:tcBorders>
              <w:right w:val="single" w:sz="4" w:space="0" w:color="auto"/>
            </w:tcBorders>
            <w:vAlign w:val="center"/>
          </w:tcPr>
          <w:p w14:paraId="4E28843F" w14:textId="7C84A581" w:rsidR="0017794B" w:rsidRPr="00AE3483" w:rsidRDefault="00393D49" w:rsidP="00D02EC7">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 xml:space="preserve">DIRECȚIA </w:t>
            </w:r>
            <w:r w:rsidR="00E45FD5">
              <w:rPr>
                <w:rFonts w:ascii="Trebuchet MS" w:eastAsia="Times New Roman" w:hAnsi="Trebuchet MS" w:cs="Arial"/>
                <w:b/>
                <w:bCs/>
                <w:sz w:val="20"/>
                <w:szCs w:val="20"/>
              </w:rPr>
              <w:t>DEZVOLTARE</w:t>
            </w:r>
            <w:r w:rsidR="00FB55C1">
              <w:rPr>
                <w:rFonts w:ascii="Trebuchet MS" w:eastAsia="Times New Roman" w:hAnsi="Trebuchet MS" w:cs="Arial"/>
                <w:b/>
                <w:bCs/>
                <w:sz w:val="20"/>
                <w:szCs w:val="20"/>
              </w:rPr>
              <w:t xml:space="preserve">/ </w:t>
            </w:r>
            <w:r w:rsidR="00167018">
              <w:rPr>
                <w:rFonts w:ascii="Trebuchet MS" w:eastAsia="Times New Roman" w:hAnsi="Trebuchet MS" w:cs="Arial"/>
                <w:b/>
                <w:bCs/>
                <w:sz w:val="20"/>
                <w:szCs w:val="20"/>
              </w:rPr>
              <w:t xml:space="preserve">SERVICIUL </w:t>
            </w:r>
            <w:r w:rsidR="00E45FD5">
              <w:rPr>
                <w:rFonts w:ascii="Trebuchet MS" w:eastAsia="Times New Roman" w:hAnsi="Trebuchet MS" w:cs="Arial"/>
                <w:b/>
                <w:bCs/>
                <w:sz w:val="20"/>
                <w:szCs w:val="20"/>
              </w:rPr>
              <w:t>PROIECTE ȘI RELAȚII INTERNAȚIONALE</w:t>
            </w:r>
          </w:p>
        </w:tc>
        <w:tc>
          <w:tcPr>
            <w:tcW w:w="6311" w:type="dxa"/>
            <w:tcBorders>
              <w:left w:val="single" w:sz="4" w:space="0" w:color="auto"/>
            </w:tcBorders>
            <w:vAlign w:val="center"/>
          </w:tcPr>
          <w:p w14:paraId="046A3848" w14:textId="44BB038C" w:rsidR="0017794B" w:rsidRPr="00AE3483" w:rsidRDefault="00AE3483" w:rsidP="00D02EC7">
            <w:pPr>
              <w:spacing w:after="0" w:line="240" w:lineRule="auto"/>
              <w:jc w:val="center"/>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Default="00210F09" w:rsidP="00D02EC7">
      <w:pPr>
        <w:jc w:val="both"/>
        <w:rPr>
          <w:rFonts w:ascii="Trebuchet MS" w:hAnsi="Trebuchet MS"/>
          <w:b/>
          <w:bCs/>
          <w:sz w:val="24"/>
          <w:szCs w:val="24"/>
        </w:rPr>
      </w:pPr>
    </w:p>
    <w:p w14:paraId="1C25D46F" w14:textId="77777777" w:rsidR="00C44221" w:rsidRPr="00AE3483" w:rsidRDefault="00C44221" w:rsidP="00D02EC7">
      <w:pPr>
        <w:jc w:val="both"/>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D02EC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Default="00FA6236" w:rsidP="00D02EC7">
      <w:pPr>
        <w:jc w:val="both"/>
        <w:rPr>
          <w:rFonts w:ascii="Trebuchet MS" w:hAnsi="Trebuchet MS"/>
          <w:b/>
          <w:bCs/>
          <w:sz w:val="24"/>
          <w:szCs w:val="24"/>
        </w:rPr>
      </w:pPr>
    </w:p>
    <w:p w14:paraId="0D7F6313" w14:textId="08EF552B" w:rsidR="001179E2" w:rsidRPr="00AE3483" w:rsidRDefault="0017794B" w:rsidP="00D02EC7">
      <w:pPr>
        <w:tabs>
          <w:tab w:val="left" w:pos="7548"/>
        </w:tabs>
        <w:jc w:val="both"/>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2C3888" w:rsidRPr="00AE3483">
        <w:rPr>
          <w:rFonts w:ascii="Trebuchet MS" w:hAnsi="Trebuchet MS"/>
          <w:sz w:val="24"/>
          <w:szCs w:val="24"/>
        </w:rPr>
        <w:t>Expert</w:t>
      </w:r>
      <w:r w:rsidR="00D02EC7">
        <w:rPr>
          <w:rFonts w:ascii="Trebuchet MS" w:hAnsi="Trebuchet MS"/>
          <w:sz w:val="24"/>
          <w:szCs w:val="24"/>
        </w:rPr>
        <w:tab/>
      </w:r>
    </w:p>
    <w:p w14:paraId="25B56B73" w14:textId="01A3853E" w:rsidR="00DD31E1" w:rsidRPr="00AE3483" w:rsidRDefault="0017794B" w:rsidP="00D02EC7">
      <w:pPr>
        <w:jc w:val="both"/>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591F3EC5" w14:textId="0F7D0240" w:rsidR="001179E2" w:rsidRPr="00AE3483" w:rsidRDefault="00697F0B" w:rsidP="00D02EC7">
      <w:pPr>
        <w:jc w:val="both"/>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956A86" w:rsidRPr="00956A86">
        <w:rPr>
          <w:rFonts w:ascii="Trebuchet MS" w:hAnsi="Trebuchet MS"/>
          <w:sz w:val="24"/>
          <w:szCs w:val="24"/>
        </w:rPr>
        <w:t>Expertul desfășoară activități de colectare şi analiză a planurilor/strategiilor locale, de urmărire a impactului Programelor Operaţionale Sectoriale. Totodată, expertul asigură stimularea directă a dezvoltării IMM-urilor din regiune prin furnizarea de informaţii și servicii de consultanță și asistență tehnică către acestea și inițiază programe de cooperare și proiecte implementate în parteneriat care să determine o dezvoltare durabilă a regiunii Sud Muntenia.Postul este necesar pentru a realiza activitatea de implementare de proiecte</w:t>
      </w:r>
      <w:r w:rsidR="001440A3">
        <w:rPr>
          <w:rFonts w:ascii="Trebuchet MS" w:hAnsi="Trebuchet MS"/>
          <w:sz w:val="24"/>
          <w:szCs w:val="24"/>
        </w:rPr>
        <w:t>.</w:t>
      </w:r>
    </w:p>
    <w:p w14:paraId="14927E13" w14:textId="3BCB1E22"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2F57DD11" w14:textId="39DBE9F2" w:rsidR="003454B6" w:rsidRPr="00CE4198" w:rsidRDefault="003454B6">
      <w:pPr>
        <w:pStyle w:val="ListParagraph"/>
        <w:numPr>
          <w:ilvl w:val="0"/>
          <w:numId w:val="2"/>
        </w:numPr>
        <w:rPr>
          <w:rFonts w:ascii="Trebuchet MS" w:hAnsi="Trebuchet MS"/>
          <w:sz w:val="24"/>
          <w:szCs w:val="24"/>
        </w:rPr>
      </w:pPr>
      <w:r w:rsidRPr="00CE4198">
        <w:rPr>
          <w:rFonts w:ascii="Trebuchet MS" w:hAnsi="Trebuchet MS" w:cs="Arial"/>
          <w:bCs/>
          <w:sz w:val="24"/>
          <w:szCs w:val="24"/>
          <w:lang w:eastAsia="ro-RO"/>
        </w:rPr>
        <w:t xml:space="preserve">Studii superioare absolvite cu diplomă de licență în </w:t>
      </w:r>
      <w:r>
        <w:rPr>
          <w:rFonts w:ascii="Trebuchet MS" w:hAnsi="Trebuchet MS" w:cs="Arial"/>
          <w:bCs/>
          <w:sz w:val="24"/>
          <w:szCs w:val="24"/>
          <w:lang w:eastAsia="ro-RO"/>
        </w:rPr>
        <w:t xml:space="preserve">domeniul fundamental: </w:t>
      </w:r>
      <w:r w:rsidR="001342FF" w:rsidRPr="001342FF">
        <w:rPr>
          <w:rFonts w:ascii="Trebuchet MS" w:hAnsi="Trebuchet MS" w:cs="Arial"/>
          <w:b/>
          <w:sz w:val="24"/>
          <w:szCs w:val="24"/>
          <w:lang w:eastAsia="ro-RO"/>
        </w:rPr>
        <w:t>științe inginerești sau</w:t>
      </w:r>
      <w:r w:rsidR="001342FF">
        <w:rPr>
          <w:rFonts w:ascii="Trebuchet MS" w:hAnsi="Trebuchet MS" w:cs="Arial"/>
          <w:bCs/>
          <w:sz w:val="24"/>
          <w:szCs w:val="24"/>
          <w:lang w:eastAsia="ro-RO"/>
        </w:rPr>
        <w:t xml:space="preserve"> </w:t>
      </w:r>
      <w:r>
        <w:rPr>
          <w:rFonts w:ascii="Trebuchet MS" w:hAnsi="Trebuchet MS" w:cs="Arial"/>
          <w:b/>
          <w:sz w:val="24"/>
          <w:szCs w:val="24"/>
          <w:lang w:eastAsia="ro-RO"/>
        </w:rPr>
        <w:t>științe sociale</w:t>
      </w:r>
      <w:r w:rsidRPr="00CE4198">
        <w:rPr>
          <w:rFonts w:ascii="Trebuchet MS" w:hAnsi="Trebuchet MS" w:cs="Arial"/>
          <w:bCs/>
          <w:sz w:val="24"/>
          <w:szCs w:val="24"/>
          <w:lang w:eastAsia="ro-RO"/>
        </w:rPr>
        <w:t>(conform nomenclatorului domeniilor și al specializărilor/ programelor de studii universitare)</w:t>
      </w:r>
    </w:p>
    <w:p w14:paraId="58C8AC9E" w14:textId="77777777" w:rsidR="003454B6" w:rsidRDefault="003454B6">
      <w:pPr>
        <w:pStyle w:val="ListParagraph"/>
        <w:numPr>
          <w:ilvl w:val="0"/>
          <w:numId w:val="2"/>
        </w:numPr>
        <w:rPr>
          <w:rFonts w:ascii="Trebuchet MS" w:hAnsi="Trebuchet MS"/>
          <w:sz w:val="24"/>
          <w:szCs w:val="24"/>
        </w:rPr>
      </w:pPr>
      <w:r>
        <w:rPr>
          <w:rFonts w:ascii="Trebuchet MS" w:hAnsi="Trebuchet MS"/>
          <w:sz w:val="24"/>
          <w:szCs w:val="24"/>
        </w:rPr>
        <w:t>Cunoștințe foarte bune de limba engleză(scris, vorbit, citit);</w:t>
      </w:r>
    </w:p>
    <w:p w14:paraId="25930244" w14:textId="77777777" w:rsidR="003454B6" w:rsidRDefault="003454B6">
      <w:pPr>
        <w:pStyle w:val="ListParagraph"/>
        <w:numPr>
          <w:ilvl w:val="0"/>
          <w:numId w:val="2"/>
        </w:numPr>
        <w:rPr>
          <w:rFonts w:ascii="Trebuchet MS" w:hAnsi="Trebuchet MS"/>
          <w:sz w:val="24"/>
          <w:szCs w:val="24"/>
        </w:rPr>
      </w:pPr>
      <w:r>
        <w:rPr>
          <w:rFonts w:ascii="Trebuchet MS" w:hAnsi="Trebuchet MS"/>
          <w:sz w:val="24"/>
          <w:szCs w:val="24"/>
        </w:rPr>
        <w:t>Cunoștințe foarte bune de operare pe calculator;</w:t>
      </w:r>
    </w:p>
    <w:p w14:paraId="13CAAE84" w14:textId="77777777" w:rsidR="003454B6" w:rsidRPr="00CE4198" w:rsidRDefault="003454B6">
      <w:pPr>
        <w:pStyle w:val="ListParagraph"/>
        <w:numPr>
          <w:ilvl w:val="0"/>
          <w:numId w:val="2"/>
        </w:numPr>
        <w:rPr>
          <w:rFonts w:ascii="Trebuchet MS" w:hAnsi="Trebuchet MS"/>
          <w:sz w:val="24"/>
          <w:szCs w:val="24"/>
        </w:rPr>
      </w:pPr>
      <w:r w:rsidRPr="00CE4198">
        <w:rPr>
          <w:rFonts w:ascii="Trebuchet MS" w:hAnsi="Trebuchet MS"/>
          <w:sz w:val="24"/>
          <w:szCs w:val="24"/>
        </w:rPr>
        <w:t>Capacitatea de a lucra în echipă;</w:t>
      </w:r>
    </w:p>
    <w:p w14:paraId="6195C030" w14:textId="77777777" w:rsidR="003454B6" w:rsidRDefault="003454B6">
      <w:pPr>
        <w:pStyle w:val="ListParagraph"/>
        <w:numPr>
          <w:ilvl w:val="0"/>
          <w:numId w:val="2"/>
        </w:numPr>
        <w:rPr>
          <w:rFonts w:ascii="Trebuchet MS" w:hAnsi="Trebuchet MS"/>
          <w:sz w:val="24"/>
          <w:szCs w:val="24"/>
        </w:rPr>
      </w:pPr>
      <w:r w:rsidRPr="00CE4198">
        <w:rPr>
          <w:rFonts w:ascii="Trebuchet MS" w:hAnsi="Trebuchet MS"/>
          <w:sz w:val="24"/>
          <w:szCs w:val="24"/>
        </w:rPr>
        <w:t xml:space="preserve">Abilități </w:t>
      </w:r>
      <w:r>
        <w:rPr>
          <w:rFonts w:ascii="Trebuchet MS" w:hAnsi="Trebuchet MS"/>
          <w:sz w:val="24"/>
          <w:szCs w:val="24"/>
        </w:rPr>
        <w:t>excelente de comunicare și prezentare;</w:t>
      </w:r>
    </w:p>
    <w:p w14:paraId="48FAE128" w14:textId="77777777" w:rsidR="003454B6" w:rsidRPr="00CE4198" w:rsidRDefault="003454B6">
      <w:pPr>
        <w:pStyle w:val="ListParagraph"/>
        <w:numPr>
          <w:ilvl w:val="0"/>
          <w:numId w:val="2"/>
        </w:numPr>
        <w:rPr>
          <w:rFonts w:ascii="Trebuchet MS" w:hAnsi="Trebuchet MS"/>
          <w:sz w:val="24"/>
          <w:szCs w:val="24"/>
        </w:rPr>
      </w:pPr>
      <w:r w:rsidRPr="00CE4198">
        <w:rPr>
          <w:rFonts w:ascii="Trebuchet MS" w:hAnsi="Trebuchet MS" w:cs="Arial"/>
          <w:bCs/>
          <w:sz w:val="24"/>
          <w:szCs w:val="24"/>
          <w:lang w:eastAsia="ro-RO"/>
        </w:rPr>
        <w:t xml:space="preserve">Disponibilitate pentru deplasări în </w:t>
      </w:r>
      <w:r>
        <w:rPr>
          <w:rFonts w:ascii="Trebuchet MS" w:hAnsi="Trebuchet MS" w:cs="Arial"/>
          <w:bCs/>
          <w:sz w:val="24"/>
          <w:szCs w:val="24"/>
          <w:lang w:eastAsia="ro-RO"/>
        </w:rPr>
        <w:t>țară</w:t>
      </w:r>
      <w:r w:rsidRPr="00CE4198">
        <w:rPr>
          <w:rFonts w:ascii="Trebuchet MS" w:hAnsi="Trebuchet MS" w:cs="Arial"/>
          <w:bCs/>
          <w:sz w:val="24"/>
          <w:szCs w:val="24"/>
          <w:lang w:eastAsia="ro-RO"/>
        </w:rPr>
        <w:t xml:space="preserve"> și în </w:t>
      </w:r>
      <w:r>
        <w:rPr>
          <w:rFonts w:ascii="Trebuchet MS" w:hAnsi="Trebuchet MS" w:cs="Arial"/>
          <w:bCs/>
          <w:sz w:val="24"/>
          <w:szCs w:val="24"/>
          <w:lang w:eastAsia="ro-RO"/>
        </w:rPr>
        <w:t>străinătate.</w:t>
      </w:r>
    </w:p>
    <w:p w14:paraId="5B9C8EB3" w14:textId="77777777" w:rsidR="003454B6" w:rsidRPr="00CE4198" w:rsidRDefault="003454B6" w:rsidP="003454B6">
      <w:pPr>
        <w:ind w:left="284"/>
        <w:rPr>
          <w:rFonts w:ascii="Trebuchet MS" w:hAnsi="Trebuchet MS"/>
          <w:sz w:val="24"/>
          <w:szCs w:val="24"/>
        </w:rPr>
      </w:pPr>
      <w:r w:rsidRPr="00CE4198">
        <w:rPr>
          <w:rFonts w:ascii="Trebuchet MS" w:hAnsi="Trebuchet MS"/>
          <w:b/>
          <w:bCs/>
          <w:sz w:val="24"/>
          <w:szCs w:val="24"/>
        </w:rPr>
        <w:t>Alte cerințe</w:t>
      </w:r>
      <w:r w:rsidRPr="00CE4198">
        <w:rPr>
          <w:rFonts w:ascii="Trebuchet MS" w:hAnsi="Trebuchet MS"/>
          <w:sz w:val="24"/>
          <w:szCs w:val="24"/>
        </w:rPr>
        <w:t>:</w:t>
      </w:r>
    </w:p>
    <w:p w14:paraId="4657FC20" w14:textId="2374540D" w:rsidR="00942B25" w:rsidRPr="003454B6" w:rsidRDefault="003454B6">
      <w:pPr>
        <w:pStyle w:val="ListParagraph"/>
        <w:numPr>
          <w:ilvl w:val="0"/>
          <w:numId w:val="2"/>
        </w:numPr>
        <w:rPr>
          <w:rFonts w:ascii="Trebuchet MS" w:hAnsi="Trebuchet MS"/>
          <w:sz w:val="24"/>
          <w:szCs w:val="24"/>
        </w:rPr>
      </w:pPr>
      <w:r>
        <w:rPr>
          <w:rFonts w:ascii="Trebuchet MS" w:hAnsi="Trebuchet MS"/>
          <w:sz w:val="24"/>
          <w:szCs w:val="24"/>
        </w:rPr>
        <w:t>Reprezintă avantaj: absolvirea unui curs de manager de proiect și/sau experiență în implementarea proiectelor cu finanțare europeană.</w:t>
      </w:r>
    </w:p>
    <w:p w14:paraId="1DEBA988" w14:textId="2ABC6BE7" w:rsidR="00AE3483" w:rsidRPr="007E56A4" w:rsidRDefault="0017794B" w:rsidP="00D02EC7">
      <w:pPr>
        <w:jc w:val="both"/>
        <w:rPr>
          <w:rFonts w:ascii="Trebuchet MS" w:hAnsi="Trebuchet MS"/>
          <w:sz w:val="24"/>
          <w:szCs w:val="24"/>
        </w:rPr>
      </w:pPr>
      <w:r w:rsidRPr="007E56A4">
        <w:rPr>
          <w:rFonts w:ascii="Trebuchet MS" w:hAnsi="Trebuchet MS"/>
          <w:b/>
          <w:bCs/>
          <w:sz w:val="24"/>
          <w:szCs w:val="24"/>
        </w:rPr>
        <w:t>5</w:t>
      </w:r>
      <w:r w:rsidR="00697F0B" w:rsidRPr="007E56A4">
        <w:rPr>
          <w:rFonts w:ascii="Trebuchet MS" w:hAnsi="Trebuchet MS"/>
          <w:b/>
          <w:bCs/>
          <w:sz w:val="24"/>
          <w:szCs w:val="24"/>
        </w:rPr>
        <w:t>.</w:t>
      </w:r>
      <w:r w:rsidR="001179E2" w:rsidRPr="007E56A4">
        <w:rPr>
          <w:rFonts w:ascii="Trebuchet MS" w:hAnsi="Trebuchet MS"/>
          <w:b/>
          <w:bCs/>
          <w:sz w:val="24"/>
          <w:szCs w:val="24"/>
        </w:rPr>
        <w:t>Atribuțiile ocupantului postului</w:t>
      </w:r>
      <w:r w:rsidR="001179E2" w:rsidRPr="007E56A4">
        <w:rPr>
          <w:rFonts w:ascii="Trebuchet MS" w:hAnsi="Trebuchet MS"/>
          <w:sz w:val="24"/>
          <w:szCs w:val="24"/>
        </w:rPr>
        <w:t xml:space="preserve">: </w:t>
      </w:r>
    </w:p>
    <w:p w14:paraId="2D00F235" w14:textId="77777777" w:rsidR="00CC152C" w:rsidRPr="00CF4E3E" w:rsidRDefault="00CC152C">
      <w:pPr>
        <w:numPr>
          <w:ilvl w:val="0"/>
          <w:numId w:val="3"/>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bookmarkStart w:id="0" w:name="_Hlk58235308"/>
      <w:r w:rsidRPr="00CF4E3E">
        <w:rPr>
          <w:rFonts w:ascii="Trebuchet MS" w:eastAsia="Times New Roman" w:hAnsi="Trebuchet MS" w:cs="Arial"/>
          <w:noProof/>
          <w:sz w:val="24"/>
          <w:szCs w:val="24"/>
        </w:rPr>
        <w:t xml:space="preserve">asigură realizarea de studii în vederea identificării nevoilor de dezvoltare la nivel regional </w:t>
      </w:r>
      <w:bookmarkEnd w:id="0"/>
    </w:p>
    <w:p w14:paraId="185894CD" w14:textId="77777777" w:rsidR="00CC152C" w:rsidRPr="00CF4E3E" w:rsidRDefault="00CC152C">
      <w:pPr>
        <w:numPr>
          <w:ilvl w:val="0"/>
          <w:numId w:val="3"/>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colaborează cu personalul de specialitate din administraţia publică locală în vederea colectării şi analizării strategiilor de dezvoltare elaborate la nivel regional, judeţean şi local în cadrul Regiunii de Dezvoltare Sud Muntenia;</w:t>
      </w:r>
    </w:p>
    <w:p w14:paraId="19514322" w14:textId="77777777" w:rsidR="00CC152C" w:rsidRPr="00CF4E3E" w:rsidRDefault="00CC152C">
      <w:pPr>
        <w:numPr>
          <w:ilvl w:val="0"/>
          <w:numId w:val="3"/>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sz w:val="24"/>
          <w:szCs w:val="24"/>
        </w:rPr>
        <w:t>întreprinde demersurile aferente procedurii privind Evaluarea Strategică de Mediu (SEA) pentru Planul de Dezvoltare Regională;</w:t>
      </w:r>
    </w:p>
    <w:p w14:paraId="5D892DD7" w14:textId="77777777" w:rsidR="00CC152C" w:rsidRPr="00CF4E3E" w:rsidRDefault="00CC152C">
      <w:pPr>
        <w:numPr>
          <w:ilvl w:val="0"/>
          <w:numId w:val="3"/>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lastRenderedPageBreak/>
        <w:t>elaborează și actualizează Planul de Dezvoltare Regională pentru perioada de programare 2021-2027, precum şi documentele subsecvente acestora, conform metodologiei aprobate;</w:t>
      </w:r>
    </w:p>
    <w:p w14:paraId="72B07DAC" w14:textId="77777777" w:rsidR="00CC152C" w:rsidRPr="00CF4E3E" w:rsidRDefault="00CC152C">
      <w:pPr>
        <w:numPr>
          <w:ilvl w:val="0"/>
          <w:numId w:val="3"/>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monitorizează progresul implementării Planului de Dezvoltare Regională 2021-2027 în regiunea Sud Muntenia;</w:t>
      </w:r>
    </w:p>
    <w:p w14:paraId="77D23740" w14:textId="77777777" w:rsidR="00CC152C" w:rsidRPr="00CF4E3E" w:rsidRDefault="00CC152C">
      <w:pPr>
        <w:numPr>
          <w:ilvl w:val="0"/>
          <w:numId w:val="3"/>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sz w:val="24"/>
          <w:szCs w:val="24"/>
        </w:rPr>
        <w:t>participă în cadrul structurilor parteneriale din cadrul regiunii la elaborarea altor documente de planificare strategică, de importanță pentru dezvoltarea sustenabilă a regiunii (Planul Regional de Acţiune pentru Învăţământ, Planul Regional de Acţiune pentru Ocupare şi Incluziune Socială, Planul Regional de Acţiune pentru Mediu, Planul Local de Acţiune pentru Mediu);</w:t>
      </w:r>
    </w:p>
    <w:p w14:paraId="569E978C" w14:textId="77777777" w:rsidR="00CC152C" w:rsidRPr="00CF4E3E" w:rsidRDefault="00CC152C">
      <w:pPr>
        <w:numPr>
          <w:ilvl w:val="0"/>
          <w:numId w:val="3"/>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sz w:val="24"/>
          <w:szCs w:val="24"/>
        </w:rPr>
        <w:t>furnizează serviciului gestionare program din cadrul direcției AM PR SM informații privind elaborarea și actualizarea Planului de Dezvoltare Regională, precum și a studiilor realizate pentru identificarea nevoilor de dezvoltare la nivel regional;</w:t>
      </w:r>
    </w:p>
    <w:p w14:paraId="1D28B518" w14:textId="77777777" w:rsidR="00CC152C" w:rsidRPr="00CF4E3E" w:rsidRDefault="00CC152C">
      <w:pPr>
        <w:numPr>
          <w:ilvl w:val="0"/>
          <w:numId w:val="3"/>
        </w:numPr>
        <w:tabs>
          <w:tab w:val="left" w:pos="630"/>
          <w:tab w:val="left" w:pos="1710"/>
        </w:tabs>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îndeplinește următoarele atribuții delegate de AM PTJ pentru implementarea programului:</w:t>
      </w:r>
    </w:p>
    <w:p w14:paraId="3DB82E63" w14:textId="77777777" w:rsidR="00CC152C" w:rsidRPr="00CF4E3E" w:rsidRDefault="00CC152C">
      <w:pPr>
        <w:numPr>
          <w:ilvl w:val="0"/>
          <w:numId w:val="4"/>
        </w:numPr>
        <w:tabs>
          <w:tab w:val="left" w:pos="630"/>
          <w:tab w:val="left" w:pos="1710"/>
        </w:tabs>
        <w:suppressAutoHyphens/>
        <w:spacing w:after="0" w:line="240" w:lineRule="auto"/>
        <w:jc w:val="both"/>
        <w:rPr>
          <w:rFonts w:ascii="Trebuchet MS" w:eastAsia="Times New Roman" w:hAnsi="Trebuchet MS" w:cs="Arial"/>
          <w:noProof/>
          <w:sz w:val="24"/>
          <w:szCs w:val="24"/>
        </w:rPr>
      </w:pPr>
      <w:r w:rsidRPr="00CF4E3E">
        <w:rPr>
          <w:rFonts w:ascii="Trebuchet MS" w:hAnsi="Trebuchet MS" w:cstheme="minorHAnsi"/>
          <w:sz w:val="24"/>
          <w:szCs w:val="24"/>
        </w:rPr>
        <w:t xml:space="preserve"> colectarea informațiilor și participarea la întâlniri inter-instituționale necesare fundamentării propunerilor de modificare a PTJ, precum și  colectarea/ raportarea datelor necesare asigurării de către AMPTJ a monitorizării adecvate a programului, inclusiv prin colectarea /raportarea de date relevante pentru teritoriul de tranziție justă rezultate din implementarea altor programe pentru care OIPTJ are rol de AM/OI/, responsabili de implementarea investițiilor specifice locale in cadrul Planului Național de Redresare și Reziliență (PNRR), dacă este cazul, și/sau alte programe pe care le derulează și ale căror intervenții sunt complementare PTJ asigurându-se o imagine de ansamblu a impactului intervențiilor asupra teritoriului vizat;</w:t>
      </w:r>
    </w:p>
    <w:p w14:paraId="5DD86F8B" w14:textId="77777777" w:rsidR="00CC152C" w:rsidRPr="00CF4E3E" w:rsidRDefault="00CC152C">
      <w:pPr>
        <w:numPr>
          <w:ilvl w:val="0"/>
          <w:numId w:val="4"/>
        </w:numPr>
        <w:tabs>
          <w:tab w:val="left" w:pos="630"/>
          <w:tab w:val="left" w:pos="1710"/>
        </w:tabs>
        <w:suppressAutoHyphens/>
        <w:spacing w:after="0" w:line="240" w:lineRule="auto"/>
        <w:jc w:val="both"/>
        <w:rPr>
          <w:rFonts w:ascii="Trebuchet MS" w:eastAsia="Times New Roman" w:hAnsi="Trebuchet MS" w:cs="Arial"/>
          <w:noProof/>
          <w:sz w:val="24"/>
          <w:szCs w:val="24"/>
        </w:rPr>
      </w:pPr>
      <w:r w:rsidRPr="00CF4E3E">
        <w:rPr>
          <w:rFonts w:ascii="Trebuchet MS" w:hAnsi="Trebuchet MS" w:cstheme="minorHAnsi"/>
          <w:sz w:val="24"/>
          <w:szCs w:val="24"/>
        </w:rPr>
        <w:t xml:space="preserve"> asigurarea suportului necesar, la solicitarea AMPTJ, în procesul de evaluare a programului. OIPTJ furnizează AMPTJ informații, documente, rapoarte și date, necesare în vederea elaborării rapoartelor de evaluare, a rapoartelor anuale și a raportului final de performanță a PTJ, precum și orice alte informații necesare.</w:t>
      </w:r>
    </w:p>
    <w:p w14:paraId="533C10B2" w14:textId="77777777" w:rsidR="00CC152C" w:rsidRPr="00CF4E3E" w:rsidRDefault="00CC152C">
      <w:pPr>
        <w:numPr>
          <w:ilvl w:val="0"/>
          <w:numId w:val="3"/>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elaborează studii, strategii, analize şi alte documente de acest tip, pentru fundamentarea politicilor regionale ce urmăresc dezvoltarea durabilă a Regiunii Sud Muntenia;</w:t>
      </w:r>
    </w:p>
    <w:p w14:paraId="42595767" w14:textId="77777777" w:rsidR="00CC152C" w:rsidRPr="00CF4E3E" w:rsidRDefault="00CC152C">
      <w:pPr>
        <w:numPr>
          <w:ilvl w:val="0"/>
          <w:numId w:val="3"/>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acordă consultanţă în domeniul promovării, sprijinirii și dezvoltării iniţiativei publice locale;</w:t>
      </w:r>
    </w:p>
    <w:p w14:paraId="787AE2FB" w14:textId="77777777" w:rsidR="00CC152C" w:rsidRPr="00CF4E3E" w:rsidRDefault="00CC152C">
      <w:pPr>
        <w:numPr>
          <w:ilvl w:val="0"/>
          <w:numId w:val="3"/>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urmăreşte impactul programelor implementate în perioadele de programare 2014-2020 și 2021-2027 la nivelul regiunii de dezvoltare Sud Muntenia;</w:t>
      </w:r>
    </w:p>
    <w:p w14:paraId="1D62ABD9" w14:textId="77777777" w:rsidR="00CC152C" w:rsidRPr="00CF4E3E" w:rsidRDefault="00CC152C">
      <w:pPr>
        <w:numPr>
          <w:ilvl w:val="0"/>
          <w:numId w:val="3"/>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colaborează cu instituţiile responsabile pentru managementul programelor finanțate din fonduri europene în vederea urmăririi impactului acestora asupra dezvoltării regiunii;</w:t>
      </w:r>
    </w:p>
    <w:p w14:paraId="6D6776A0" w14:textId="77777777" w:rsidR="00CC152C" w:rsidRPr="00CF4E3E" w:rsidRDefault="00CC152C">
      <w:pPr>
        <w:numPr>
          <w:ilvl w:val="0"/>
          <w:numId w:val="3"/>
        </w:numPr>
        <w:suppressAutoHyphens/>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caută noi oportunităţi de dezvoltare a ADRSM prin stabilirea de noi parteneriate cu instituţii la nivel regional, naţional sau internaţional;</w:t>
      </w:r>
    </w:p>
    <w:p w14:paraId="353ECD50" w14:textId="77777777" w:rsidR="00CC152C" w:rsidRPr="00CF4E3E" w:rsidRDefault="00CC152C">
      <w:pPr>
        <w:numPr>
          <w:ilvl w:val="0"/>
          <w:numId w:val="3"/>
        </w:numPr>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propune măsuri de promovare a intereselor regiunii Sud Muntenia în străinătate, întărirea cooperării şi colaborării cu organismele Uniunii Europene;</w:t>
      </w:r>
    </w:p>
    <w:p w14:paraId="45575333" w14:textId="77777777" w:rsidR="00CC152C" w:rsidRPr="00CF4E3E" w:rsidRDefault="00CC152C">
      <w:pPr>
        <w:numPr>
          <w:ilvl w:val="0"/>
          <w:numId w:val="3"/>
        </w:numPr>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acordă asistenţă tehnică de specialitate în vederea accesării programelor de finanţare, la solicitarea autorităţilor publice locale din Regiunea Sud Muntenia;</w:t>
      </w:r>
    </w:p>
    <w:p w14:paraId="421F9CE6" w14:textId="77777777" w:rsidR="00CC152C" w:rsidRPr="00CF4E3E" w:rsidRDefault="00CC152C">
      <w:pPr>
        <w:numPr>
          <w:ilvl w:val="0"/>
          <w:numId w:val="3"/>
        </w:numPr>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identifică posibilităţile de atragere de resurse financiare prin participarea în cadrul unor programe sau proiecte, în calitate de iniţiator sau partener;</w:t>
      </w:r>
    </w:p>
    <w:p w14:paraId="51D3076F" w14:textId="77777777" w:rsidR="00CC152C" w:rsidRPr="00CF4E3E" w:rsidRDefault="00CC152C">
      <w:pPr>
        <w:numPr>
          <w:ilvl w:val="0"/>
          <w:numId w:val="3"/>
        </w:numPr>
        <w:spacing w:after="0" w:line="240" w:lineRule="auto"/>
        <w:ind w:left="31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lastRenderedPageBreak/>
        <w:t>prestează, pe bază contractuală, servicii şi activităţi specializate de management şi asistenţă tehnică pentru iniţierea, promovarea, elaborarea şi implementarea proiectelor și management de proiect;</w:t>
      </w:r>
    </w:p>
    <w:p w14:paraId="27D10C09" w14:textId="77777777" w:rsidR="00CC152C" w:rsidRPr="00CF4E3E" w:rsidRDefault="00CC152C">
      <w:pPr>
        <w:numPr>
          <w:ilvl w:val="0"/>
          <w:numId w:val="3"/>
        </w:numPr>
        <w:tabs>
          <w:tab w:val="num" w:pos="317"/>
        </w:tabs>
        <w:spacing w:after="0" w:line="240" w:lineRule="auto"/>
        <w:ind w:left="312" w:hanging="35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 xml:space="preserve">creează şi menţine o bază de date privind oportunităţile de finanţare în vederea dezvoltării comunității din regiunea de dezvoltare Sud-Muntenia; </w:t>
      </w:r>
    </w:p>
    <w:p w14:paraId="19C77F87" w14:textId="77777777" w:rsidR="00CC152C" w:rsidRPr="00CF4E3E" w:rsidRDefault="00CC152C">
      <w:pPr>
        <w:numPr>
          <w:ilvl w:val="0"/>
          <w:numId w:val="3"/>
        </w:numPr>
        <w:tabs>
          <w:tab w:val="num" w:pos="317"/>
        </w:tabs>
        <w:spacing w:after="0" w:line="240" w:lineRule="auto"/>
        <w:ind w:left="312" w:hanging="357"/>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creează și dezvoltă o bază de date cu proiecte de succes implementate la nivel internațional;</w:t>
      </w:r>
    </w:p>
    <w:p w14:paraId="04F1BDBB" w14:textId="157411BF" w:rsidR="00D37B4A" w:rsidRDefault="00CC152C">
      <w:pPr>
        <w:pStyle w:val="ListParagraph"/>
        <w:numPr>
          <w:ilvl w:val="0"/>
          <w:numId w:val="1"/>
        </w:numPr>
        <w:spacing w:after="0" w:line="240" w:lineRule="auto"/>
        <w:ind w:left="284" w:hanging="425"/>
        <w:jc w:val="both"/>
        <w:rPr>
          <w:rFonts w:ascii="Trebuchet MS" w:hAnsi="Trebuchet MS"/>
          <w:sz w:val="24"/>
          <w:szCs w:val="24"/>
        </w:rPr>
      </w:pPr>
      <w:r w:rsidRPr="00CF4E3E">
        <w:rPr>
          <w:rFonts w:ascii="Trebuchet MS" w:eastAsia="Times New Roman" w:hAnsi="Trebuchet MS" w:cs="Arial"/>
          <w:noProof/>
          <w:sz w:val="24"/>
          <w:szCs w:val="24"/>
        </w:rPr>
        <w:t>colaborează cu celelalte structuri din cadrul direcției Dezvoltare și din cadrul ADRSM pentru asigurarea absorbției fondurilor</w:t>
      </w:r>
      <w:r w:rsidR="00D37B4A">
        <w:rPr>
          <w:rFonts w:ascii="Trebuchet MS" w:hAnsi="Trebuchet MS"/>
          <w:sz w:val="24"/>
          <w:szCs w:val="24"/>
        </w:rPr>
        <w:t>;</w:t>
      </w:r>
    </w:p>
    <w:p w14:paraId="4908517A" w14:textId="4402A6A1" w:rsidR="00D37B4A" w:rsidRDefault="00D37B4A">
      <w:pPr>
        <w:pStyle w:val="ListParagraph"/>
        <w:numPr>
          <w:ilvl w:val="0"/>
          <w:numId w:val="1"/>
        </w:numPr>
        <w:spacing w:after="0" w:line="240" w:lineRule="auto"/>
        <w:ind w:left="284" w:hanging="425"/>
        <w:jc w:val="both"/>
        <w:rPr>
          <w:rFonts w:ascii="Trebuchet MS" w:hAnsi="Trebuchet MS"/>
          <w:sz w:val="24"/>
          <w:szCs w:val="24"/>
        </w:rPr>
      </w:pPr>
      <w:r w:rsidRPr="00D37B4A">
        <w:rPr>
          <w:rFonts w:ascii="Trebuchet MS" w:hAnsi="Trebuchet MS"/>
          <w:sz w:val="24"/>
          <w:szCs w:val="24"/>
        </w:rPr>
        <w:t>Organizează seminarii, conferinţe, alte evenimente care implică parteneriatele, potenţialii beneficiari şi alte entităţi;</w:t>
      </w:r>
    </w:p>
    <w:p w14:paraId="5F2A850B" w14:textId="63AAA36A" w:rsidR="00D37B4A" w:rsidRDefault="00D37B4A">
      <w:pPr>
        <w:pStyle w:val="ListParagraph"/>
        <w:numPr>
          <w:ilvl w:val="0"/>
          <w:numId w:val="1"/>
        </w:numPr>
        <w:ind w:left="284" w:hanging="425"/>
        <w:jc w:val="both"/>
        <w:rPr>
          <w:rFonts w:ascii="Trebuchet MS" w:hAnsi="Trebuchet MS"/>
          <w:sz w:val="24"/>
          <w:szCs w:val="24"/>
        </w:rPr>
      </w:pPr>
      <w:r w:rsidRPr="00D37B4A">
        <w:rPr>
          <w:rFonts w:ascii="Trebuchet MS" w:hAnsi="Trebuchet MS"/>
          <w:sz w:val="24"/>
          <w:szCs w:val="24"/>
        </w:rPr>
        <w:t>Propune măsuri de promovare a intereselor Regiunii Sud Muntenia în străinătate, întărirea cooperării şi colaborării cu organismele Uniunii Europene;</w:t>
      </w:r>
    </w:p>
    <w:p w14:paraId="7D3EDB06" w14:textId="7CDE7E00" w:rsidR="00D37B4A" w:rsidRDefault="00D37B4A">
      <w:pPr>
        <w:pStyle w:val="ListParagraph"/>
        <w:numPr>
          <w:ilvl w:val="0"/>
          <w:numId w:val="1"/>
        </w:numPr>
        <w:ind w:left="284" w:hanging="425"/>
        <w:jc w:val="both"/>
        <w:rPr>
          <w:rFonts w:ascii="Trebuchet MS" w:hAnsi="Trebuchet MS"/>
          <w:sz w:val="24"/>
          <w:szCs w:val="24"/>
        </w:rPr>
      </w:pPr>
      <w:r w:rsidRPr="00D37B4A">
        <w:rPr>
          <w:rFonts w:ascii="Trebuchet MS" w:hAnsi="Trebuchet MS"/>
          <w:sz w:val="24"/>
          <w:szCs w:val="24"/>
        </w:rPr>
        <w:t>Face parte din echipa de implementare a proiectelor cu finanțare europeană acolo unde ADR Sud Muntenia este partener sau lider</w:t>
      </w:r>
      <w:r>
        <w:rPr>
          <w:rFonts w:ascii="Trebuchet MS" w:hAnsi="Trebuchet MS"/>
          <w:sz w:val="24"/>
          <w:szCs w:val="24"/>
        </w:rPr>
        <w:t>;</w:t>
      </w:r>
    </w:p>
    <w:p w14:paraId="6F6561D3" w14:textId="5012B293" w:rsidR="00D37B4A" w:rsidRDefault="00D37B4A">
      <w:pPr>
        <w:pStyle w:val="ListParagraph"/>
        <w:numPr>
          <w:ilvl w:val="0"/>
          <w:numId w:val="1"/>
        </w:numPr>
        <w:ind w:left="284" w:hanging="425"/>
        <w:jc w:val="both"/>
        <w:rPr>
          <w:rFonts w:ascii="Trebuchet MS" w:hAnsi="Trebuchet MS"/>
          <w:sz w:val="24"/>
          <w:szCs w:val="24"/>
        </w:rPr>
      </w:pPr>
      <w:r w:rsidRPr="00D37B4A">
        <w:rPr>
          <w:rFonts w:ascii="Trebuchet MS" w:hAnsi="Trebuchet MS"/>
          <w:sz w:val="24"/>
          <w:szCs w:val="24"/>
        </w:rPr>
        <w:t>Contribuie, la solicitarea AMPOR, la elaborarea de către aceasta a rapoartelor de evaluare, a rapoartelor anuale şi a raportului final de implementare a POR 2014-2020, precum şi în vederea analizării de către AMPOR a stadiului implementării POR şi a raportării către forurile în drept, prin furnizarea de informaţii, documente, rapoarte şi date necesare, ca şi prin notificarea cu privire la orice probleme care apar/pot apărea în implementarea POR;</w:t>
      </w:r>
    </w:p>
    <w:p w14:paraId="7FEC89B2" w14:textId="74872756" w:rsidR="00167018" w:rsidRPr="00D37B4A" w:rsidRDefault="00D37B4A">
      <w:pPr>
        <w:pStyle w:val="ListParagraph"/>
        <w:numPr>
          <w:ilvl w:val="0"/>
          <w:numId w:val="1"/>
        </w:numPr>
        <w:ind w:left="284" w:hanging="425"/>
        <w:jc w:val="both"/>
        <w:rPr>
          <w:rFonts w:ascii="Trebuchet MS" w:hAnsi="Trebuchet MS"/>
          <w:sz w:val="24"/>
          <w:szCs w:val="24"/>
        </w:rPr>
      </w:pPr>
      <w:r w:rsidRPr="00D37B4A">
        <w:rPr>
          <w:rFonts w:ascii="Trebuchet MS" w:hAnsi="Trebuchet MS"/>
          <w:sz w:val="24"/>
          <w:szCs w:val="24"/>
        </w:rPr>
        <w:t>Colectează informațiile necesare raportării și monitorizării schemelor de ajutor de stat/de minimis specifice POR 2014 -2020</w:t>
      </w:r>
      <w:r w:rsidR="00167018" w:rsidRPr="00D37B4A">
        <w:rPr>
          <w:rFonts w:ascii="Trebuchet MS" w:eastAsia="Times New Roman" w:hAnsi="Trebuchet MS" w:cs="Times New Roman"/>
          <w:sz w:val="24"/>
          <w:szCs w:val="24"/>
        </w:rPr>
        <w:t>;</w:t>
      </w:r>
    </w:p>
    <w:p w14:paraId="306B735E" w14:textId="77777777" w:rsidR="00167018" w:rsidRDefault="00167018">
      <w:pPr>
        <w:pStyle w:val="ListParagraph"/>
        <w:numPr>
          <w:ilvl w:val="0"/>
          <w:numId w:val="1"/>
        </w:numPr>
        <w:ind w:left="284" w:hanging="425"/>
        <w:jc w:val="both"/>
        <w:rPr>
          <w:rFonts w:ascii="Trebuchet MS" w:hAnsi="Trebuchet MS"/>
          <w:sz w:val="24"/>
          <w:szCs w:val="24"/>
        </w:rPr>
      </w:pPr>
      <w:r w:rsidRPr="00D37B4A">
        <w:rPr>
          <w:rFonts w:ascii="Trebuchet MS" w:hAnsi="Trebuchet MS"/>
          <w:sz w:val="24"/>
          <w:szCs w:val="24"/>
        </w:rPr>
        <w:t>asigură și răspunde de confidențialitatea datelor la care are acces prin natura atribuțiilor de serviciu;</w:t>
      </w:r>
    </w:p>
    <w:p w14:paraId="2535A0D0" w14:textId="350C0F9F" w:rsidR="00167018" w:rsidRPr="00D37B4A" w:rsidRDefault="00A239B6">
      <w:pPr>
        <w:pStyle w:val="ListParagraph"/>
        <w:numPr>
          <w:ilvl w:val="0"/>
          <w:numId w:val="1"/>
        </w:numPr>
        <w:ind w:left="284" w:hanging="425"/>
        <w:jc w:val="both"/>
        <w:rPr>
          <w:rFonts w:ascii="Trebuchet MS" w:hAnsi="Trebuchet MS"/>
          <w:sz w:val="24"/>
          <w:szCs w:val="24"/>
        </w:rPr>
      </w:pPr>
      <w:r>
        <w:rPr>
          <w:rFonts w:ascii="Trebuchet MS" w:eastAsia="Times New Roman" w:hAnsi="Trebuchet MS" w:cs="Times New Roman"/>
          <w:sz w:val="24"/>
          <w:szCs w:val="24"/>
        </w:rPr>
        <w:t>R</w:t>
      </w:r>
      <w:r w:rsidR="00167018" w:rsidRPr="00D37B4A">
        <w:rPr>
          <w:rFonts w:ascii="Trebuchet MS" w:eastAsia="Times New Roman" w:hAnsi="Trebuchet MS" w:cs="Times New Roman"/>
          <w:sz w:val="24"/>
          <w:szCs w:val="24"/>
        </w:rPr>
        <w:t>ăspunde și raportează în fața superiorului pentru îndeplinirea la termen a obiectivelor stabilite în urma evaluării performanțelor și a atribuțiilor specifice postului pe care îl ocupă;</w:t>
      </w:r>
    </w:p>
    <w:p w14:paraId="1566FFDE" w14:textId="26F1CE28" w:rsidR="00167018" w:rsidRPr="00D37B4A" w:rsidRDefault="00A239B6">
      <w:pPr>
        <w:pStyle w:val="ListParagraph"/>
        <w:numPr>
          <w:ilvl w:val="0"/>
          <w:numId w:val="1"/>
        </w:numPr>
        <w:ind w:left="284" w:hanging="425"/>
        <w:jc w:val="both"/>
        <w:rPr>
          <w:rFonts w:ascii="Trebuchet MS" w:hAnsi="Trebuchet MS"/>
          <w:sz w:val="24"/>
          <w:szCs w:val="24"/>
        </w:rPr>
      </w:pPr>
      <w:r>
        <w:rPr>
          <w:rFonts w:ascii="Trebuchet MS" w:eastAsia="Times New Roman" w:hAnsi="Trebuchet MS" w:cs="Times New Roman"/>
          <w:sz w:val="24"/>
          <w:szCs w:val="24"/>
        </w:rPr>
        <w:t>A</w:t>
      </w:r>
      <w:r w:rsidR="00167018" w:rsidRPr="00D37B4A">
        <w:rPr>
          <w:rFonts w:ascii="Trebuchet MS" w:eastAsia="Times New Roman" w:hAnsi="Trebuchet MS" w:cs="Times New Roman"/>
          <w:sz w:val="24"/>
          <w:szCs w:val="24"/>
        </w:rPr>
        <w:t>re obligația de a cunoaște și respecta prevederile regulamentului intern, ale regulamentului de organizare și funcționare a agenției, ale statutului agenției, precum și prevederile procedurilor interne de lucru aplicabile activității pe care o desfășoară;</w:t>
      </w:r>
    </w:p>
    <w:p w14:paraId="4FF9AFE0" w14:textId="4174AB38" w:rsidR="00167018" w:rsidRPr="00D37B4A" w:rsidRDefault="00A239B6">
      <w:pPr>
        <w:pStyle w:val="ListParagraph"/>
        <w:numPr>
          <w:ilvl w:val="0"/>
          <w:numId w:val="1"/>
        </w:numPr>
        <w:ind w:left="284" w:hanging="425"/>
        <w:jc w:val="both"/>
        <w:rPr>
          <w:rFonts w:ascii="Trebuchet MS" w:hAnsi="Trebuchet MS"/>
          <w:sz w:val="24"/>
          <w:szCs w:val="24"/>
        </w:rPr>
      </w:pPr>
      <w:r>
        <w:rPr>
          <w:rFonts w:ascii="Trebuchet MS" w:eastAsia="Times New Roman" w:hAnsi="Trebuchet MS" w:cs="Times New Roman"/>
          <w:sz w:val="24"/>
          <w:szCs w:val="24"/>
        </w:rPr>
        <w:t>R</w:t>
      </w:r>
      <w:r w:rsidR="00167018" w:rsidRPr="00D37B4A">
        <w:rPr>
          <w:rFonts w:ascii="Trebuchet MS" w:eastAsia="Times New Roman" w:hAnsi="Trebuchet MS" w:cs="Times New Roman"/>
          <w:sz w:val="24"/>
          <w:szCs w:val="24"/>
        </w:rPr>
        <w:t xml:space="preserve">espectă măsurile de sănătate și securitate a muncii </w:t>
      </w:r>
      <w:r w:rsidR="00B60397">
        <w:rPr>
          <w:rFonts w:ascii="Trebuchet MS" w:eastAsia="Times New Roman" w:hAnsi="Trebuchet MS" w:cs="Times New Roman"/>
          <w:sz w:val="24"/>
          <w:szCs w:val="24"/>
        </w:rPr>
        <w:t xml:space="preserve">și </w:t>
      </w:r>
      <w:r w:rsidR="0057079E">
        <w:rPr>
          <w:rFonts w:ascii="Trebuchet MS" w:eastAsia="Times New Roman" w:hAnsi="Trebuchet MS" w:cs="Times New Roman"/>
          <w:sz w:val="24"/>
          <w:szCs w:val="24"/>
        </w:rPr>
        <w:t xml:space="preserve">măsurile </w:t>
      </w:r>
      <w:r w:rsidR="00B60397">
        <w:rPr>
          <w:rFonts w:ascii="Trebuchet MS" w:eastAsia="Times New Roman" w:hAnsi="Trebuchet MS" w:cs="Times New Roman"/>
          <w:sz w:val="24"/>
          <w:szCs w:val="24"/>
        </w:rPr>
        <w:t>de PSI di</w:t>
      </w:r>
      <w:r w:rsidR="00167018" w:rsidRPr="00D37B4A">
        <w:rPr>
          <w:rFonts w:ascii="Trebuchet MS" w:eastAsia="Times New Roman" w:hAnsi="Trebuchet MS" w:cs="Times New Roman"/>
          <w:sz w:val="24"/>
          <w:szCs w:val="24"/>
        </w:rPr>
        <w:t>n instituție.</w:t>
      </w:r>
    </w:p>
    <w:p w14:paraId="2963A53B" w14:textId="75B23073"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poate lua decizii cât priveşte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D02EC7">
      <w:pPr>
        <w:jc w:val="both"/>
        <w:rPr>
          <w:rFonts w:ascii="Trebuchet MS" w:hAnsi="Trebuchet MS"/>
          <w:b/>
          <w:bCs/>
          <w:i/>
          <w:iCs/>
          <w:sz w:val="24"/>
          <w:szCs w:val="24"/>
        </w:rPr>
      </w:pPr>
      <w:r w:rsidRPr="00AE3483">
        <w:rPr>
          <w:rFonts w:ascii="Trebuchet MS" w:hAnsi="Trebuchet MS"/>
          <w:b/>
          <w:bCs/>
          <w:i/>
          <w:iCs/>
          <w:sz w:val="24"/>
          <w:szCs w:val="24"/>
        </w:rPr>
        <w:t>Intern:</w:t>
      </w:r>
    </w:p>
    <w:p w14:paraId="094D30B7" w14:textId="51A00D7D" w:rsidR="001179E2" w:rsidRPr="00AE3483" w:rsidRDefault="001179E2" w:rsidP="00D02EC7">
      <w:pPr>
        <w:jc w:val="both"/>
        <w:rPr>
          <w:rFonts w:ascii="Trebuchet MS" w:hAnsi="Trebuchet MS"/>
          <w:sz w:val="24"/>
          <w:szCs w:val="24"/>
        </w:rPr>
      </w:pPr>
      <w:r w:rsidRPr="00AE3483">
        <w:rPr>
          <w:rFonts w:ascii="Trebuchet MS" w:hAnsi="Trebuchet MS"/>
          <w:sz w:val="24"/>
          <w:szCs w:val="24"/>
        </w:rPr>
        <w:t>a)Relații ierarhice: subordona</w:t>
      </w:r>
      <w:r w:rsidR="008C3830" w:rsidRPr="00AE3483">
        <w:rPr>
          <w:rFonts w:ascii="Trebuchet MS" w:hAnsi="Trebuchet MS"/>
          <w:sz w:val="24"/>
          <w:szCs w:val="24"/>
        </w:rPr>
        <w:t xml:space="preserve">t: </w:t>
      </w:r>
      <w:r w:rsidR="007E56A4">
        <w:rPr>
          <w:rFonts w:ascii="Trebuchet MS" w:hAnsi="Trebuchet MS"/>
          <w:sz w:val="24"/>
          <w:szCs w:val="24"/>
        </w:rPr>
        <w:t xml:space="preserve">șefului serviciului </w:t>
      </w:r>
      <w:r w:rsidR="00FB54B7">
        <w:rPr>
          <w:rFonts w:ascii="Trebuchet MS" w:hAnsi="Trebuchet MS"/>
          <w:sz w:val="24"/>
          <w:szCs w:val="24"/>
        </w:rPr>
        <w:t>proiecte și relații internaționale</w:t>
      </w:r>
    </w:p>
    <w:p w14:paraId="715294AD" w14:textId="0338D512" w:rsidR="001179E2" w:rsidRPr="00AE3483" w:rsidRDefault="001179E2" w:rsidP="00D02EC7">
      <w:pPr>
        <w:jc w:val="both"/>
        <w:rPr>
          <w:rFonts w:ascii="Trebuchet MS" w:hAnsi="Trebuchet MS"/>
          <w:sz w:val="24"/>
          <w:szCs w:val="24"/>
        </w:rPr>
      </w:pPr>
      <w:r w:rsidRPr="00AE3483">
        <w:rPr>
          <w:rFonts w:ascii="Trebuchet MS" w:hAnsi="Trebuchet MS"/>
          <w:sz w:val="24"/>
          <w:szCs w:val="24"/>
        </w:rPr>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D02EC7">
      <w:pPr>
        <w:jc w:val="both"/>
        <w:rPr>
          <w:rFonts w:ascii="Trebuchet MS" w:hAnsi="Trebuchet MS"/>
          <w:sz w:val="24"/>
          <w:szCs w:val="24"/>
        </w:rPr>
      </w:pPr>
      <w:r w:rsidRPr="00AE3483">
        <w:rPr>
          <w:rFonts w:ascii="Trebuchet MS" w:hAnsi="Trebuchet MS"/>
          <w:sz w:val="24"/>
          <w:szCs w:val="24"/>
        </w:rPr>
        <w:lastRenderedPageBreak/>
        <w:t xml:space="preserve">b)Relații functionale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D02EC7">
      <w:pPr>
        <w:jc w:val="both"/>
        <w:rPr>
          <w:rFonts w:ascii="Trebuchet MS" w:hAnsi="Trebuchet MS"/>
          <w:sz w:val="24"/>
          <w:szCs w:val="24"/>
        </w:rPr>
      </w:pPr>
      <w:r w:rsidRPr="00AE3483">
        <w:rPr>
          <w:rFonts w:ascii="Trebuchet MS" w:hAnsi="Trebuchet MS"/>
          <w:sz w:val="24"/>
          <w:szCs w:val="24"/>
        </w:rPr>
        <w:t xml:space="preserve">c)Relații de control </w:t>
      </w:r>
      <w:r w:rsidR="008C3830" w:rsidRPr="00AE3483">
        <w:rPr>
          <w:rFonts w:ascii="Trebuchet MS" w:hAnsi="Trebuchet MS"/>
          <w:sz w:val="24"/>
          <w:szCs w:val="24"/>
        </w:rPr>
        <w:t>: nu este cazul</w:t>
      </w:r>
    </w:p>
    <w:p w14:paraId="403513D7" w14:textId="463C183D" w:rsidR="009A7752" w:rsidRPr="00AE3483" w:rsidRDefault="001179E2" w:rsidP="00D02EC7">
      <w:pPr>
        <w:jc w:val="both"/>
        <w:rPr>
          <w:rFonts w:ascii="Trebuchet MS" w:hAnsi="Trebuchet MS"/>
          <w:sz w:val="24"/>
          <w:szCs w:val="24"/>
        </w:rPr>
      </w:pPr>
      <w:r w:rsidRPr="00AE3483">
        <w:rPr>
          <w:rFonts w:ascii="Trebuchet MS" w:hAnsi="Trebuchet MS"/>
          <w:sz w:val="24"/>
          <w:szCs w:val="24"/>
        </w:rPr>
        <w:t>d)Relatii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serviciul din care face parte – la acţiunile desfăşurate în domeniul său de activitate – pe baza împuternicirii/nominalizării de către superiorul său </w:t>
      </w:r>
    </w:p>
    <w:p w14:paraId="0FAA6436" w14:textId="77777777" w:rsidR="00715451" w:rsidRPr="00AE3483" w:rsidRDefault="00715451" w:rsidP="00D02EC7">
      <w:pPr>
        <w:jc w:val="both"/>
        <w:rPr>
          <w:rFonts w:ascii="Trebuchet MS" w:hAnsi="Trebuchet MS"/>
          <w:b/>
          <w:bCs/>
          <w:i/>
          <w:iCs/>
          <w:sz w:val="24"/>
          <w:szCs w:val="24"/>
        </w:rPr>
      </w:pPr>
    </w:p>
    <w:p w14:paraId="072AD276" w14:textId="7067264C" w:rsidR="001179E2" w:rsidRPr="00AE3483" w:rsidRDefault="001179E2" w:rsidP="00D02EC7">
      <w:pPr>
        <w:jc w:val="both"/>
        <w:rPr>
          <w:rFonts w:ascii="Trebuchet MS" w:hAnsi="Trebuchet MS"/>
          <w:b/>
          <w:bCs/>
          <w:i/>
          <w:iCs/>
          <w:sz w:val="24"/>
          <w:szCs w:val="24"/>
        </w:rPr>
      </w:pPr>
      <w:r w:rsidRPr="00AE3483">
        <w:rPr>
          <w:rFonts w:ascii="Trebuchet MS" w:hAnsi="Trebuchet MS"/>
          <w:b/>
          <w:bCs/>
          <w:i/>
          <w:iCs/>
          <w:sz w:val="24"/>
          <w:szCs w:val="24"/>
        </w:rPr>
        <w:t>Extern:</w:t>
      </w:r>
    </w:p>
    <w:p w14:paraId="10D8A321" w14:textId="5266F519" w:rsidR="001179E2" w:rsidRPr="00AE3483" w:rsidRDefault="001179E2" w:rsidP="00D02EC7">
      <w:pPr>
        <w:jc w:val="both"/>
        <w:rPr>
          <w:rFonts w:ascii="Trebuchet MS" w:hAnsi="Trebuchet MS"/>
          <w:sz w:val="24"/>
          <w:szCs w:val="24"/>
        </w:rPr>
      </w:pPr>
      <w:r w:rsidRPr="00AE3483">
        <w:rPr>
          <w:rFonts w:ascii="Trebuchet MS" w:hAnsi="Trebuchet MS"/>
          <w:sz w:val="24"/>
          <w:szCs w:val="24"/>
        </w:rPr>
        <w:t>a)Cu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când este necesar, pentru desfăşurarea activităţilor specifice din fişa postului</w:t>
      </w:r>
    </w:p>
    <w:p w14:paraId="61F6ED8C" w14:textId="360FE0BC" w:rsidR="001179E2" w:rsidRPr="00AE3483" w:rsidRDefault="001179E2" w:rsidP="00D02EC7">
      <w:pPr>
        <w:jc w:val="both"/>
        <w:rPr>
          <w:rFonts w:ascii="Trebuchet MS" w:hAnsi="Trebuchet MS"/>
          <w:sz w:val="24"/>
          <w:szCs w:val="24"/>
        </w:rPr>
      </w:pPr>
      <w:r w:rsidRPr="00AE3483">
        <w:rPr>
          <w:rFonts w:ascii="Trebuchet MS" w:hAnsi="Trebuchet MS"/>
          <w:sz w:val="24"/>
          <w:szCs w:val="24"/>
        </w:rPr>
        <w:t>b)Cu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5903F56A" w14:textId="244236F4" w:rsidR="001179E2" w:rsidRPr="00AE3483" w:rsidRDefault="001179E2" w:rsidP="00D02EC7">
      <w:pPr>
        <w:jc w:val="both"/>
        <w:rPr>
          <w:rFonts w:ascii="Trebuchet MS" w:hAnsi="Trebuchet MS"/>
          <w:sz w:val="24"/>
          <w:szCs w:val="24"/>
        </w:rPr>
      </w:pPr>
      <w:r w:rsidRPr="00AE3483">
        <w:rPr>
          <w:rFonts w:ascii="Trebuchet MS" w:hAnsi="Trebuchet MS"/>
          <w:sz w:val="24"/>
          <w:szCs w:val="24"/>
        </w:rPr>
        <w:t>c)Cu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63C309D7" w14:textId="77777777" w:rsidR="001179E2" w:rsidRPr="00AE3483" w:rsidRDefault="001179E2" w:rsidP="00D02EC7">
      <w:pPr>
        <w:jc w:val="both"/>
        <w:rPr>
          <w:rFonts w:ascii="Trebuchet MS" w:hAnsi="Trebuchet MS"/>
          <w:sz w:val="24"/>
          <w:szCs w:val="24"/>
        </w:rPr>
      </w:pPr>
    </w:p>
    <w:sectPr w:rsidR="001179E2" w:rsidRPr="00AE3483" w:rsidSect="00D02EC7">
      <w:headerReference w:type="default" r:id="rId9"/>
      <w:footerReference w:type="default" r:id="rId10"/>
      <w:pgSz w:w="11906" w:h="16838" w:code="9"/>
      <w:pgMar w:top="851" w:right="851" w:bottom="851" w:left="1418" w:header="567" w:footer="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3DBC6" w14:textId="77777777" w:rsidR="00300A38" w:rsidRDefault="00300A38" w:rsidP="00270CF9">
      <w:pPr>
        <w:spacing w:after="0" w:line="240" w:lineRule="auto"/>
      </w:pPr>
      <w:r>
        <w:separator/>
      </w:r>
    </w:p>
  </w:endnote>
  <w:endnote w:type="continuationSeparator" w:id="0">
    <w:p w14:paraId="7F7A3E02" w14:textId="77777777" w:rsidR="00300A38" w:rsidRDefault="00300A38"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62D50" w14:textId="77777777" w:rsidR="00300A38" w:rsidRDefault="00300A38" w:rsidP="00270CF9">
      <w:pPr>
        <w:spacing w:after="0" w:line="240" w:lineRule="auto"/>
      </w:pPr>
      <w:r>
        <w:separator/>
      </w:r>
    </w:p>
  </w:footnote>
  <w:footnote w:type="continuationSeparator" w:id="0">
    <w:p w14:paraId="037DDBAF" w14:textId="77777777" w:rsidR="00300A38" w:rsidRDefault="00300A38"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101B8"/>
    <w:multiLevelType w:val="hybridMultilevel"/>
    <w:tmpl w:val="8884993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9244B4A"/>
    <w:multiLevelType w:val="hybridMultilevel"/>
    <w:tmpl w:val="26667D14"/>
    <w:lvl w:ilvl="0" w:tplc="08090005">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2" w15:restartNumberingAfterBreak="0">
    <w:nsid w:val="7270768E"/>
    <w:multiLevelType w:val="hybridMultilevel"/>
    <w:tmpl w:val="E30E2EC2"/>
    <w:lvl w:ilvl="0" w:tplc="04180005">
      <w:start w:val="1"/>
      <w:numFmt w:val="bullet"/>
      <w:lvlText w:val=""/>
      <w:lvlJc w:val="left"/>
      <w:pPr>
        <w:ind w:left="792" w:hanging="360"/>
      </w:pPr>
      <w:rPr>
        <w:rFonts w:ascii="Wingdings" w:hAnsi="Wingdings" w:hint="default"/>
      </w:rPr>
    </w:lvl>
    <w:lvl w:ilvl="1" w:tplc="04180003" w:tentative="1">
      <w:start w:val="1"/>
      <w:numFmt w:val="bullet"/>
      <w:lvlText w:val="o"/>
      <w:lvlJc w:val="left"/>
      <w:pPr>
        <w:ind w:left="1512" w:hanging="360"/>
      </w:pPr>
      <w:rPr>
        <w:rFonts w:ascii="Courier New" w:hAnsi="Courier New" w:cs="Courier New" w:hint="default"/>
      </w:rPr>
    </w:lvl>
    <w:lvl w:ilvl="2" w:tplc="04180005" w:tentative="1">
      <w:start w:val="1"/>
      <w:numFmt w:val="bullet"/>
      <w:lvlText w:val=""/>
      <w:lvlJc w:val="left"/>
      <w:pPr>
        <w:ind w:left="2232" w:hanging="360"/>
      </w:pPr>
      <w:rPr>
        <w:rFonts w:ascii="Wingdings" w:hAnsi="Wingdings" w:hint="default"/>
      </w:rPr>
    </w:lvl>
    <w:lvl w:ilvl="3" w:tplc="04180001" w:tentative="1">
      <w:start w:val="1"/>
      <w:numFmt w:val="bullet"/>
      <w:lvlText w:val=""/>
      <w:lvlJc w:val="left"/>
      <w:pPr>
        <w:ind w:left="2952" w:hanging="360"/>
      </w:pPr>
      <w:rPr>
        <w:rFonts w:ascii="Symbol" w:hAnsi="Symbol" w:hint="default"/>
      </w:rPr>
    </w:lvl>
    <w:lvl w:ilvl="4" w:tplc="04180003" w:tentative="1">
      <w:start w:val="1"/>
      <w:numFmt w:val="bullet"/>
      <w:lvlText w:val="o"/>
      <w:lvlJc w:val="left"/>
      <w:pPr>
        <w:ind w:left="3672" w:hanging="360"/>
      </w:pPr>
      <w:rPr>
        <w:rFonts w:ascii="Courier New" w:hAnsi="Courier New" w:cs="Courier New" w:hint="default"/>
      </w:rPr>
    </w:lvl>
    <w:lvl w:ilvl="5" w:tplc="04180005" w:tentative="1">
      <w:start w:val="1"/>
      <w:numFmt w:val="bullet"/>
      <w:lvlText w:val=""/>
      <w:lvlJc w:val="left"/>
      <w:pPr>
        <w:ind w:left="4392" w:hanging="360"/>
      </w:pPr>
      <w:rPr>
        <w:rFonts w:ascii="Wingdings" w:hAnsi="Wingdings" w:hint="default"/>
      </w:rPr>
    </w:lvl>
    <w:lvl w:ilvl="6" w:tplc="04180001" w:tentative="1">
      <w:start w:val="1"/>
      <w:numFmt w:val="bullet"/>
      <w:lvlText w:val=""/>
      <w:lvlJc w:val="left"/>
      <w:pPr>
        <w:ind w:left="5112" w:hanging="360"/>
      </w:pPr>
      <w:rPr>
        <w:rFonts w:ascii="Symbol" w:hAnsi="Symbol" w:hint="default"/>
      </w:rPr>
    </w:lvl>
    <w:lvl w:ilvl="7" w:tplc="04180003" w:tentative="1">
      <w:start w:val="1"/>
      <w:numFmt w:val="bullet"/>
      <w:lvlText w:val="o"/>
      <w:lvlJc w:val="left"/>
      <w:pPr>
        <w:ind w:left="5832" w:hanging="360"/>
      </w:pPr>
      <w:rPr>
        <w:rFonts w:ascii="Courier New" w:hAnsi="Courier New" w:cs="Courier New" w:hint="default"/>
      </w:rPr>
    </w:lvl>
    <w:lvl w:ilvl="8" w:tplc="04180005" w:tentative="1">
      <w:start w:val="1"/>
      <w:numFmt w:val="bullet"/>
      <w:lvlText w:val=""/>
      <w:lvlJc w:val="left"/>
      <w:pPr>
        <w:ind w:left="6552" w:hanging="360"/>
      </w:pPr>
      <w:rPr>
        <w:rFonts w:ascii="Wingdings" w:hAnsi="Wingdings" w:hint="default"/>
      </w:rPr>
    </w:lvl>
  </w:abstractNum>
  <w:abstractNum w:abstractNumId="3" w15:restartNumberingAfterBreak="0">
    <w:nsid w:val="7D0909E7"/>
    <w:multiLevelType w:val="hybridMultilevel"/>
    <w:tmpl w:val="0E7AE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4795441">
    <w:abstractNumId w:val="1"/>
  </w:num>
  <w:num w:numId="2" w16cid:durableId="569266404">
    <w:abstractNumId w:val="2"/>
  </w:num>
  <w:num w:numId="3" w16cid:durableId="1668821750">
    <w:abstractNumId w:val="3"/>
  </w:num>
  <w:num w:numId="4" w16cid:durableId="73054285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43F6"/>
    <w:rsid w:val="00073355"/>
    <w:rsid w:val="00084220"/>
    <w:rsid w:val="000A1C8D"/>
    <w:rsid w:val="000A34D4"/>
    <w:rsid w:val="000C3196"/>
    <w:rsid w:val="000D0ACA"/>
    <w:rsid w:val="000D1FC6"/>
    <w:rsid w:val="000D212E"/>
    <w:rsid w:val="000D29A1"/>
    <w:rsid w:val="000D3A97"/>
    <w:rsid w:val="000D3F4B"/>
    <w:rsid w:val="000D59D6"/>
    <w:rsid w:val="001116DF"/>
    <w:rsid w:val="0011329D"/>
    <w:rsid w:val="00116CE8"/>
    <w:rsid w:val="001179E2"/>
    <w:rsid w:val="001342FF"/>
    <w:rsid w:val="00140DAF"/>
    <w:rsid w:val="00141EFA"/>
    <w:rsid w:val="001440A3"/>
    <w:rsid w:val="00147BF6"/>
    <w:rsid w:val="00155C80"/>
    <w:rsid w:val="0015615C"/>
    <w:rsid w:val="00163E3D"/>
    <w:rsid w:val="00165F8C"/>
    <w:rsid w:val="00166654"/>
    <w:rsid w:val="00167018"/>
    <w:rsid w:val="0017794B"/>
    <w:rsid w:val="00181B9D"/>
    <w:rsid w:val="00185099"/>
    <w:rsid w:val="001A76C7"/>
    <w:rsid w:val="001B103E"/>
    <w:rsid w:val="001B6328"/>
    <w:rsid w:val="001C2D43"/>
    <w:rsid w:val="001D4D71"/>
    <w:rsid w:val="001F032C"/>
    <w:rsid w:val="001F1A46"/>
    <w:rsid w:val="001F1D3C"/>
    <w:rsid w:val="00203A0B"/>
    <w:rsid w:val="00210244"/>
    <w:rsid w:val="00210F09"/>
    <w:rsid w:val="00217D4E"/>
    <w:rsid w:val="00223055"/>
    <w:rsid w:val="00225A5C"/>
    <w:rsid w:val="00237245"/>
    <w:rsid w:val="00237D6C"/>
    <w:rsid w:val="0024715E"/>
    <w:rsid w:val="00270CF9"/>
    <w:rsid w:val="00277FDA"/>
    <w:rsid w:val="0029294F"/>
    <w:rsid w:val="00295135"/>
    <w:rsid w:val="002A1777"/>
    <w:rsid w:val="002A52F2"/>
    <w:rsid w:val="002B4EEF"/>
    <w:rsid w:val="002C3888"/>
    <w:rsid w:val="002D6B6D"/>
    <w:rsid w:val="002D7261"/>
    <w:rsid w:val="002E4D2B"/>
    <w:rsid w:val="00300A38"/>
    <w:rsid w:val="003015DB"/>
    <w:rsid w:val="00301FFF"/>
    <w:rsid w:val="00310779"/>
    <w:rsid w:val="0031238A"/>
    <w:rsid w:val="003135FC"/>
    <w:rsid w:val="0032582E"/>
    <w:rsid w:val="003454B6"/>
    <w:rsid w:val="0035423F"/>
    <w:rsid w:val="00356BDB"/>
    <w:rsid w:val="003650B5"/>
    <w:rsid w:val="00371C41"/>
    <w:rsid w:val="00374B56"/>
    <w:rsid w:val="003828E4"/>
    <w:rsid w:val="003856F8"/>
    <w:rsid w:val="003872E0"/>
    <w:rsid w:val="00390FC5"/>
    <w:rsid w:val="00391042"/>
    <w:rsid w:val="00393D49"/>
    <w:rsid w:val="00396339"/>
    <w:rsid w:val="003A5136"/>
    <w:rsid w:val="003A555A"/>
    <w:rsid w:val="003C3D0C"/>
    <w:rsid w:val="003C51CA"/>
    <w:rsid w:val="003C63CF"/>
    <w:rsid w:val="003C6E94"/>
    <w:rsid w:val="003C6E9F"/>
    <w:rsid w:val="003D07A4"/>
    <w:rsid w:val="003D26D9"/>
    <w:rsid w:val="003D4024"/>
    <w:rsid w:val="003D4353"/>
    <w:rsid w:val="003E48CF"/>
    <w:rsid w:val="003E7A67"/>
    <w:rsid w:val="003F641C"/>
    <w:rsid w:val="00407BEA"/>
    <w:rsid w:val="00417E6C"/>
    <w:rsid w:val="00421809"/>
    <w:rsid w:val="00431782"/>
    <w:rsid w:val="00437531"/>
    <w:rsid w:val="00454682"/>
    <w:rsid w:val="00454CD2"/>
    <w:rsid w:val="00471C47"/>
    <w:rsid w:val="00477768"/>
    <w:rsid w:val="00480430"/>
    <w:rsid w:val="0048080A"/>
    <w:rsid w:val="0048147A"/>
    <w:rsid w:val="00486616"/>
    <w:rsid w:val="004A1859"/>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179A"/>
    <w:rsid w:val="0056385D"/>
    <w:rsid w:val="005663A4"/>
    <w:rsid w:val="0057079E"/>
    <w:rsid w:val="00571F87"/>
    <w:rsid w:val="005807FC"/>
    <w:rsid w:val="00586109"/>
    <w:rsid w:val="005A238B"/>
    <w:rsid w:val="005A47F4"/>
    <w:rsid w:val="005B0FED"/>
    <w:rsid w:val="005B7522"/>
    <w:rsid w:val="005D6EBA"/>
    <w:rsid w:val="005E2698"/>
    <w:rsid w:val="005F48EE"/>
    <w:rsid w:val="00626D6E"/>
    <w:rsid w:val="00637A13"/>
    <w:rsid w:val="00655298"/>
    <w:rsid w:val="0065764C"/>
    <w:rsid w:val="00663094"/>
    <w:rsid w:val="0067066F"/>
    <w:rsid w:val="006838B0"/>
    <w:rsid w:val="00683AE6"/>
    <w:rsid w:val="00684ABE"/>
    <w:rsid w:val="0069182E"/>
    <w:rsid w:val="00692DB9"/>
    <w:rsid w:val="00697F0B"/>
    <w:rsid w:val="006A5F50"/>
    <w:rsid w:val="006A7758"/>
    <w:rsid w:val="006C3924"/>
    <w:rsid w:val="006C4314"/>
    <w:rsid w:val="006C47AC"/>
    <w:rsid w:val="006C7191"/>
    <w:rsid w:val="006D700E"/>
    <w:rsid w:val="006E1C09"/>
    <w:rsid w:val="006E3FE7"/>
    <w:rsid w:val="006F6ABE"/>
    <w:rsid w:val="00707875"/>
    <w:rsid w:val="00707D50"/>
    <w:rsid w:val="00710C56"/>
    <w:rsid w:val="00715451"/>
    <w:rsid w:val="00715D89"/>
    <w:rsid w:val="00721D80"/>
    <w:rsid w:val="007238F8"/>
    <w:rsid w:val="007355CF"/>
    <w:rsid w:val="00741501"/>
    <w:rsid w:val="007425F2"/>
    <w:rsid w:val="00746522"/>
    <w:rsid w:val="00746A19"/>
    <w:rsid w:val="00753077"/>
    <w:rsid w:val="007531CA"/>
    <w:rsid w:val="007602C9"/>
    <w:rsid w:val="0076703C"/>
    <w:rsid w:val="0077344E"/>
    <w:rsid w:val="0077598D"/>
    <w:rsid w:val="00777CE5"/>
    <w:rsid w:val="00787137"/>
    <w:rsid w:val="007A2A92"/>
    <w:rsid w:val="007A4779"/>
    <w:rsid w:val="007A4DC5"/>
    <w:rsid w:val="007A6A70"/>
    <w:rsid w:val="007A7C6E"/>
    <w:rsid w:val="007B15BA"/>
    <w:rsid w:val="007B5719"/>
    <w:rsid w:val="007B7942"/>
    <w:rsid w:val="007C5407"/>
    <w:rsid w:val="007D472A"/>
    <w:rsid w:val="007D5875"/>
    <w:rsid w:val="007E2563"/>
    <w:rsid w:val="007E56A4"/>
    <w:rsid w:val="007F2C44"/>
    <w:rsid w:val="007F5411"/>
    <w:rsid w:val="007F6F28"/>
    <w:rsid w:val="0080056D"/>
    <w:rsid w:val="00803B68"/>
    <w:rsid w:val="00810F30"/>
    <w:rsid w:val="0081378A"/>
    <w:rsid w:val="00813AAE"/>
    <w:rsid w:val="008243F6"/>
    <w:rsid w:val="0083097D"/>
    <w:rsid w:val="00831716"/>
    <w:rsid w:val="00835248"/>
    <w:rsid w:val="00835714"/>
    <w:rsid w:val="008370DB"/>
    <w:rsid w:val="008370FF"/>
    <w:rsid w:val="0084771A"/>
    <w:rsid w:val="00850465"/>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2B25"/>
    <w:rsid w:val="00943DF3"/>
    <w:rsid w:val="00944837"/>
    <w:rsid w:val="00956A86"/>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22284"/>
    <w:rsid w:val="00A239B6"/>
    <w:rsid w:val="00A2598D"/>
    <w:rsid w:val="00A275BB"/>
    <w:rsid w:val="00A34998"/>
    <w:rsid w:val="00A355D2"/>
    <w:rsid w:val="00A60331"/>
    <w:rsid w:val="00A70A6F"/>
    <w:rsid w:val="00A740B5"/>
    <w:rsid w:val="00A77BFF"/>
    <w:rsid w:val="00A808CD"/>
    <w:rsid w:val="00A86743"/>
    <w:rsid w:val="00A92925"/>
    <w:rsid w:val="00A93270"/>
    <w:rsid w:val="00A9510E"/>
    <w:rsid w:val="00AA6EAA"/>
    <w:rsid w:val="00AB2B5B"/>
    <w:rsid w:val="00AB4F35"/>
    <w:rsid w:val="00AC66E7"/>
    <w:rsid w:val="00AC7709"/>
    <w:rsid w:val="00AD00DC"/>
    <w:rsid w:val="00AD15A3"/>
    <w:rsid w:val="00AD2457"/>
    <w:rsid w:val="00AD3035"/>
    <w:rsid w:val="00AD4408"/>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0397"/>
    <w:rsid w:val="00B623BB"/>
    <w:rsid w:val="00B651D3"/>
    <w:rsid w:val="00B6577F"/>
    <w:rsid w:val="00B6700A"/>
    <w:rsid w:val="00BA6101"/>
    <w:rsid w:val="00BB58FB"/>
    <w:rsid w:val="00BC0E4F"/>
    <w:rsid w:val="00BC5755"/>
    <w:rsid w:val="00BC60F5"/>
    <w:rsid w:val="00BC6578"/>
    <w:rsid w:val="00BE7606"/>
    <w:rsid w:val="00C00341"/>
    <w:rsid w:val="00C049A1"/>
    <w:rsid w:val="00C073C5"/>
    <w:rsid w:val="00C12876"/>
    <w:rsid w:val="00C315C6"/>
    <w:rsid w:val="00C340DD"/>
    <w:rsid w:val="00C416BC"/>
    <w:rsid w:val="00C4331A"/>
    <w:rsid w:val="00C44221"/>
    <w:rsid w:val="00C5390C"/>
    <w:rsid w:val="00C568A6"/>
    <w:rsid w:val="00C56BF8"/>
    <w:rsid w:val="00C62FCB"/>
    <w:rsid w:val="00C77326"/>
    <w:rsid w:val="00C84DBA"/>
    <w:rsid w:val="00C91A77"/>
    <w:rsid w:val="00C9709B"/>
    <w:rsid w:val="00CA2C1A"/>
    <w:rsid w:val="00CA605B"/>
    <w:rsid w:val="00CB1FCA"/>
    <w:rsid w:val="00CB4C85"/>
    <w:rsid w:val="00CC152C"/>
    <w:rsid w:val="00CD295D"/>
    <w:rsid w:val="00D02EC7"/>
    <w:rsid w:val="00D03DAA"/>
    <w:rsid w:val="00D03E89"/>
    <w:rsid w:val="00D05BC8"/>
    <w:rsid w:val="00D163C0"/>
    <w:rsid w:val="00D207E3"/>
    <w:rsid w:val="00D37B4A"/>
    <w:rsid w:val="00D40D4A"/>
    <w:rsid w:val="00D47BC3"/>
    <w:rsid w:val="00D552EC"/>
    <w:rsid w:val="00D65A77"/>
    <w:rsid w:val="00D764DE"/>
    <w:rsid w:val="00D802CD"/>
    <w:rsid w:val="00D84432"/>
    <w:rsid w:val="00D866AC"/>
    <w:rsid w:val="00D9000B"/>
    <w:rsid w:val="00D92F8C"/>
    <w:rsid w:val="00DA3F76"/>
    <w:rsid w:val="00DB204D"/>
    <w:rsid w:val="00DC78E9"/>
    <w:rsid w:val="00DD31E1"/>
    <w:rsid w:val="00DD3B1A"/>
    <w:rsid w:val="00DD4C83"/>
    <w:rsid w:val="00DD59EA"/>
    <w:rsid w:val="00E0175B"/>
    <w:rsid w:val="00E04D17"/>
    <w:rsid w:val="00E10580"/>
    <w:rsid w:val="00E137F3"/>
    <w:rsid w:val="00E26E24"/>
    <w:rsid w:val="00E27B5C"/>
    <w:rsid w:val="00E37D0D"/>
    <w:rsid w:val="00E45FD5"/>
    <w:rsid w:val="00E61487"/>
    <w:rsid w:val="00E6220E"/>
    <w:rsid w:val="00E70495"/>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1F71"/>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B54B7"/>
    <w:rsid w:val="00FB55C1"/>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1243</Words>
  <Characters>7213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51</cp:revision>
  <cp:lastPrinted>2021-02-16T11:32:00Z</cp:lastPrinted>
  <dcterms:created xsi:type="dcterms:W3CDTF">2021-06-15T07:41:00Z</dcterms:created>
  <dcterms:modified xsi:type="dcterms:W3CDTF">2025-08-21T12:16:00Z</dcterms:modified>
</cp:coreProperties>
</file>