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533EC463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0713AF">
        <w:rPr>
          <w:rFonts w:ascii="Trebuchet MS" w:hAnsi="Trebuchet MS"/>
          <w:sz w:val="24"/>
          <w:szCs w:val="24"/>
        </w:rPr>
        <w:t>tehnic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1182A9F8" w14:textId="77777777" w:rsidR="008B6869" w:rsidRPr="008B6869" w:rsidRDefault="008B6869" w:rsidP="008B6869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bookmarkStart w:id="0" w:name="_Hlk174376324"/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Studii superioare absolvite cu diplomă de licență sau echivalent în domeniul fundamental: științe inginerești( conform </w:t>
      </w: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5CBF5693" w14:textId="77777777" w:rsidR="008B6869" w:rsidRPr="008B6869" w:rsidRDefault="008B6869" w:rsidP="008B6869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0143056B" w14:textId="185FBCCA" w:rsidR="008B6869" w:rsidRPr="0059629E" w:rsidRDefault="008B6869" w:rsidP="0059629E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Experiența specifică în cadrul a minim </w:t>
      </w:r>
      <w:r w:rsidR="0059629E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5</w:t>
      </w: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 proiect</w:t>
      </w:r>
      <w:r w:rsidR="0059629E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e</w:t>
      </w: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 în care a desfășurat activități</w:t>
      </w:r>
      <w:r w:rsidR="0059629E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 xml:space="preserve"> de e</w:t>
      </w:r>
      <w:r w:rsidRPr="0059629E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valuare din punct de vedere al aspectelor tehnice pentru proiecte de infrastructură civilă</w:t>
      </w:r>
    </w:p>
    <w:bookmarkEnd w:id="0"/>
    <w:p w14:paraId="03339631" w14:textId="77777777" w:rsidR="008B6869" w:rsidRPr="008B6869" w:rsidRDefault="008B6869" w:rsidP="008B6869">
      <w:pPr>
        <w:spacing w:after="0" w:line="240" w:lineRule="auto"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 xml:space="preserve">   Alte cerințe:</w:t>
      </w:r>
    </w:p>
    <w:p w14:paraId="0783BBD8" w14:textId="6FC0312A" w:rsidR="0051152D" w:rsidRPr="008B6869" w:rsidRDefault="008B6869" w:rsidP="00A05A4D">
      <w:pPr>
        <w:numPr>
          <w:ilvl w:val="0"/>
          <w:numId w:val="46"/>
        </w:numPr>
        <w:spacing w:after="0" w:line="240" w:lineRule="auto"/>
        <w:ind w:left="709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A1418BF" w14:textId="77777777" w:rsidR="0051152D" w:rsidRDefault="0051152D" w:rsidP="00A05A4D">
      <w:pPr>
        <w:rPr>
          <w:rFonts w:ascii="Trebuchet MS" w:hAnsi="Trebuchet MS"/>
          <w:b/>
          <w:bCs/>
          <w:sz w:val="24"/>
          <w:szCs w:val="24"/>
        </w:rPr>
      </w:pP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3D489B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4BB445C3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urmărirea îndeplinirii criteriilor de eligibilitate și selecție </w:t>
      </w:r>
      <w:r>
        <w:rPr>
          <w:rFonts w:ascii="Trebuchet MS" w:hAnsi="Trebuchet MS"/>
          <w:sz w:val="24"/>
          <w:szCs w:val="24"/>
        </w:rPr>
        <w:t xml:space="preserve">și </w:t>
      </w:r>
      <w:r w:rsidRPr="00D715A0">
        <w:rPr>
          <w:rFonts w:ascii="Trebuchet MS" w:hAnsi="Trebuchet MS"/>
          <w:sz w:val="24"/>
          <w:szCs w:val="24"/>
        </w:rPr>
        <w:t xml:space="preserve">completarea grilelor de evaluare tehnică și financiară. </w:t>
      </w:r>
    </w:p>
    <w:p w14:paraId="5DE53596" w14:textId="735F2646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D715A0">
        <w:rPr>
          <w:rFonts w:ascii="Trebuchet MS" w:hAnsi="Trebuchet MS"/>
          <w:sz w:val="24"/>
          <w:szCs w:val="24"/>
        </w:rPr>
        <w:t>MySMIS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D715A0">
        <w:rPr>
          <w:rFonts w:ascii="Trebuchet MS" w:hAnsi="Trebuchet MS"/>
          <w:sz w:val="24"/>
          <w:szCs w:val="24"/>
        </w:rPr>
        <w:t>tehnico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-economice PT+DALI/ documentației </w:t>
      </w:r>
      <w:r w:rsidRPr="00D715A0">
        <w:rPr>
          <w:rFonts w:ascii="Trebuchet MS" w:hAnsi="Trebuchet MS"/>
          <w:sz w:val="24"/>
          <w:szCs w:val="24"/>
        </w:rPr>
        <w:lastRenderedPageBreak/>
        <w:t>de tip plan de afaceri și analizei privind imunizarea la schimbările climatice, pe baza grilelor de verificare atașate ghidului solicitantului aplicabil fiecărui apel</w:t>
      </w:r>
      <w:r w:rsidR="0059629E">
        <w:rPr>
          <w:rFonts w:ascii="Trebuchet MS" w:hAnsi="Trebuchet MS"/>
          <w:sz w:val="24"/>
          <w:szCs w:val="24"/>
        </w:rPr>
        <w:t xml:space="preserve"> și a atribuțiilor specifice postului</w:t>
      </w:r>
      <w:r w:rsidRPr="00D715A0">
        <w:rPr>
          <w:rFonts w:ascii="Trebuchet MS" w:hAnsi="Trebuchet MS"/>
          <w:sz w:val="24"/>
          <w:szCs w:val="24"/>
        </w:rPr>
        <w:t>.</w:t>
      </w:r>
    </w:p>
    <w:p w14:paraId="3D459CF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32A3E25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542FBE75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</w:t>
      </w:r>
      <w:r>
        <w:rPr>
          <w:rFonts w:ascii="Trebuchet MS" w:hAnsi="Trebuchet MS"/>
          <w:sz w:val="24"/>
          <w:szCs w:val="24"/>
        </w:rPr>
        <w:t xml:space="preserve"> prin semnătură electronică extinsă</w:t>
      </w:r>
      <w:r w:rsidRPr="00D715A0">
        <w:rPr>
          <w:rFonts w:ascii="Trebuchet MS" w:hAnsi="Trebuchet MS"/>
          <w:sz w:val="24"/>
          <w:szCs w:val="24"/>
        </w:rPr>
        <w:t>;</w:t>
      </w:r>
    </w:p>
    <w:p w14:paraId="46AA82F1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166E3BB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DF64928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0C613D4E" w:rsidR="00A05A4D" w:rsidRDefault="00C83D75" w:rsidP="00C83D75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1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1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62435" w14:textId="77777777" w:rsidR="00B1041F" w:rsidRDefault="00B1041F" w:rsidP="00270CF9">
      <w:pPr>
        <w:spacing w:after="0" w:line="240" w:lineRule="auto"/>
      </w:pPr>
      <w:r>
        <w:separator/>
      </w:r>
    </w:p>
  </w:endnote>
  <w:endnote w:type="continuationSeparator" w:id="0">
    <w:p w14:paraId="6E15F556" w14:textId="77777777" w:rsidR="00B1041F" w:rsidRDefault="00B1041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055B" w14:textId="77777777" w:rsidR="00B1041F" w:rsidRDefault="00B1041F" w:rsidP="00270CF9">
      <w:pPr>
        <w:spacing w:after="0" w:line="240" w:lineRule="auto"/>
      </w:pPr>
      <w:r>
        <w:separator/>
      </w:r>
    </w:p>
  </w:footnote>
  <w:footnote w:type="continuationSeparator" w:id="0">
    <w:p w14:paraId="034EB76C" w14:textId="77777777" w:rsidR="00B1041F" w:rsidRDefault="00B1041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80A82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712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40</cp:revision>
  <cp:lastPrinted>2021-02-16T11:32:00Z</cp:lastPrinted>
  <dcterms:created xsi:type="dcterms:W3CDTF">2021-06-15T07:41:00Z</dcterms:created>
  <dcterms:modified xsi:type="dcterms:W3CDTF">2025-02-19T06:34:00Z</dcterms:modified>
</cp:coreProperties>
</file>