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5B3F69" w:rsidRPr="00210F09" w14:paraId="147ED59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75C61447" w14:textId="77777777" w:rsidR="005B3F69" w:rsidRPr="00210F09" w:rsidRDefault="005B3F69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4B04DC28" w14:textId="77777777" w:rsidR="005B3F69" w:rsidRPr="00210F09" w:rsidRDefault="005B3F69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60D56470" wp14:editId="757B0150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78F656" w14:textId="77777777" w:rsidR="005B3F69" w:rsidRDefault="005B3F6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55E1C9DA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003A2F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003A2F">
        <w:rPr>
          <w:rFonts w:ascii="Trebuchet MS" w:hAnsi="Trebuchet MS"/>
          <w:sz w:val="24"/>
          <w:szCs w:val="24"/>
        </w:rPr>
        <w:t>te</w:t>
      </w:r>
      <w:r w:rsidR="003A7270">
        <w:rPr>
          <w:rFonts w:ascii="Trebuchet MS" w:hAnsi="Trebuchet MS"/>
          <w:sz w:val="24"/>
          <w:szCs w:val="24"/>
        </w:rPr>
        <w:t xml:space="preserve">matic- </w:t>
      </w:r>
      <w:r w:rsidR="003A7270" w:rsidRPr="003A7270">
        <w:rPr>
          <w:rFonts w:ascii="Trebuchet MS" w:hAnsi="Trebuchet MS"/>
          <w:sz w:val="24"/>
          <w:szCs w:val="24"/>
        </w:rPr>
        <w:t>dezvoltare durabilă/schimbări climatice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2C148F87" w14:textId="0E20B672" w:rsidR="003A7270" w:rsidRPr="003A7270" w:rsidRDefault="003A7270" w:rsidP="003A7270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3A7270">
        <w:rPr>
          <w:rFonts w:ascii="Trebuchet MS" w:hAnsi="Trebuchet MS"/>
          <w:kern w:val="2"/>
          <w:sz w:val="24"/>
          <w:szCs w:val="24"/>
          <w14:ligatures w14:val="standardContextual"/>
        </w:rPr>
        <w:t>Studii superioare absolvite cu diplomă de licență sau echivalent în ramura de știință: științele pământului și atmosferei</w:t>
      </w:r>
      <w:r w:rsidR="00216AEC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 sau în domeniul fundamental: științe inginerești</w:t>
      </w:r>
      <w:r w:rsidRPr="003A7270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( conform </w:t>
      </w:r>
      <w:r w:rsidRPr="003A7270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FB7F97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andidatul</w:t>
      </w:r>
      <w:r w:rsidRPr="003A7270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 va justifica îndeplinirea cerinței, prin raportare la prevederile legale in vigoare la data începerii studiilor respective.</w:t>
      </w:r>
    </w:p>
    <w:p w14:paraId="2BD302F0" w14:textId="77777777" w:rsidR="003A7270" w:rsidRPr="00216AEC" w:rsidRDefault="003A7270" w:rsidP="003A7270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3A7270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5924834F" w14:textId="34274311" w:rsidR="003A7270" w:rsidRPr="00216AEC" w:rsidRDefault="003A7270" w:rsidP="00216AEC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216AEC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Participarea în activități de evaluare, implementare, gestionare de proiecte privind dezvoltarea urbană/mobilitatea/ protecția mediului/ ecologie/ planificare teritorială</w:t>
      </w:r>
      <w:r w:rsidR="00216AEC" w:rsidRPr="00216AEC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/</w:t>
      </w:r>
      <w:r w:rsidR="00216AEC" w:rsidRPr="00216AEC">
        <w:t xml:space="preserve"> </w:t>
      </w:r>
      <w:r w:rsidR="00216AEC" w:rsidRPr="00216AEC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respectarea Cartei drepturilor fundamentale ale Uniunii Europene (servicii sociale, egalitatea de șanse, nediscriminare, accesibilitate, incluziune, solidaritate etc.)</w:t>
      </w:r>
    </w:p>
    <w:p w14:paraId="68CE4A89" w14:textId="77777777" w:rsidR="003A7270" w:rsidRDefault="003A7270" w:rsidP="00216AEC">
      <w:p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3A7270">
        <w:rPr>
          <w:rFonts w:ascii="Trebuchet MS" w:hAnsi="Trebuchet MS"/>
          <w:kern w:val="2"/>
          <w:sz w:val="24"/>
          <w:szCs w:val="24"/>
          <w14:ligatures w14:val="standardContextual"/>
        </w:rPr>
        <w:t>SAU</w:t>
      </w:r>
    </w:p>
    <w:p w14:paraId="0C46A68C" w14:textId="4D0E45A2" w:rsidR="00A05A4D" w:rsidRPr="003701A2" w:rsidRDefault="003A7270" w:rsidP="003A7270">
      <w:pPr>
        <w:numPr>
          <w:ilvl w:val="0"/>
          <w:numId w:val="46"/>
        </w:numPr>
        <w:ind w:left="142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3701A2">
        <w:rPr>
          <w:rFonts w:ascii="Trebuchet MS" w:hAnsi="Trebuchet MS"/>
          <w:kern w:val="2"/>
          <w:sz w:val="24"/>
          <w:szCs w:val="24"/>
          <w14:ligatures w14:val="standardContextual"/>
        </w:rPr>
        <w:t>Desfășurarea de activități privind evaluarea riscurilor climatice, privind resursele atmosferice și schimbările climatice globale</w:t>
      </w:r>
    </w:p>
    <w:p w14:paraId="3A9419A0" w14:textId="77777777" w:rsidR="003701A2" w:rsidRPr="003701A2" w:rsidRDefault="003701A2" w:rsidP="003701A2">
      <w:pPr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  <w:r w:rsidRPr="003701A2">
        <w:rPr>
          <w:rFonts w:ascii="Trebuchet MS" w:hAnsi="Trebuchet MS"/>
          <w:b/>
          <w:bCs/>
          <w:sz w:val="24"/>
          <w:szCs w:val="24"/>
        </w:rPr>
        <w:t>Alte cerințe:</w:t>
      </w:r>
    </w:p>
    <w:p w14:paraId="010AD7AB" w14:textId="47C65F3D" w:rsidR="003701A2" w:rsidRPr="003701A2" w:rsidRDefault="003701A2" w:rsidP="00A05A4D">
      <w:pPr>
        <w:pStyle w:val="ListParagraph"/>
        <w:numPr>
          <w:ilvl w:val="0"/>
          <w:numId w:val="48"/>
        </w:numPr>
        <w:spacing w:after="0" w:line="240" w:lineRule="auto"/>
        <w:ind w:left="142"/>
        <w:rPr>
          <w:rFonts w:ascii="Trebuchet MS" w:hAnsi="Trebuchet MS"/>
          <w:b/>
          <w:bCs/>
          <w:sz w:val="24"/>
          <w:szCs w:val="24"/>
        </w:rPr>
      </w:pPr>
      <w:r w:rsidRPr="003701A2">
        <w:rPr>
          <w:rFonts w:ascii="Trebuchet MS" w:hAnsi="Trebuchet MS"/>
          <w:sz w:val="24"/>
          <w:szCs w:val="24"/>
        </w:rPr>
        <w:t>Candidații trebuie să respecte obligațiile în materie de conflict de interese prevăzute de OUG 66/2011, cu modificările și completările ulterioare</w:t>
      </w:r>
    </w:p>
    <w:p w14:paraId="52FB663C" w14:textId="548803E9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3D789F2E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577F74D0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lastRenderedPageBreak/>
        <w:t xml:space="preserve">urmărirea îndeplinirii criteriilor de eligibilitate și selecție și completarea grilelor de evaluare tehnică și financiară. </w:t>
      </w:r>
    </w:p>
    <w:p w14:paraId="4FB125E1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113942">
        <w:rPr>
          <w:rFonts w:ascii="Trebuchet MS" w:hAnsi="Trebuchet MS"/>
          <w:sz w:val="24"/>
          <w:szCs w:val="24"/>
        </w:rPr>
        <w:t>MySMIS</w:t>
      </w:r>
      <w:proofErr w:type="spellEnd"/>
      <w:r w:rsidRPr="00113942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113942">
        <w:rPr>
          <w:rFonts w:ascii="Trebuchet MS" w:hAnsi="Trebuchet MS"/>
          <w:sz w:val="24"/>
          <w:szCs w:val="24"/>
        </w:rPr>
        <w:t>tehnico</w:t>
      </w:r>
      <w:proofErr w:type="spellEnd"/>
      <w:r w:rsidRPr="00113942">
        <w:rPr>
          <w:rFonts w:ascii="Trebuchet MS" w:hAnsi="Trebuchet MS"/>
          <w:sz w:val="24"/>
          <w:szCs w:val="24"/>
        </w:rPr>
        <w:t>-economice PT+DALI/ documentației de tip plan de afaceri și analizei privind imunizarea la schimbările climatice, pe baza grilelor de verificare atașate ghidului solicitantului aplicabil fiecărui apel.</w:t>
      </w:r>
    </w:p>
    <w:p w14:paraId="5A070C2B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5B6AA8E2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25DDC915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 prin semnătură electronică extinsă;</w:t>
      </w:r>
    </w:p>
    <w:p w14:paraId="48780272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evaluatorul tematic  analizează cererea de finanțare și documentele anexate în ceea ce privește respectarea principiilor orizontale, acordă punctaje pentru criteriile/ subcriteriile corespunzătoare și completează grila de evaluare tehnică și financiară la criteriile/ subcriteriile respective;</w:t>
      </w:r>
    </w:p>
    <w:p w14:paraId="3F02A4C2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63777C0B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79DE9C77" w14:textId="77777777" w:rsidR="00113942" w:rsidRPr="00113942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6C2585B4" w:rsidR="00A05A4D" w:rsidRDefault="00113942" w:rsidP="00113942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113942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4D912ED5" w14:textId="3BD812DD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5903F56A" w14:textId="300289BE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7777777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</w:p>
    <w:sectPr w:rsidR="001179E2" w:rsidRPr="001179E2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4B60E" w14:textId="77777777" w:rsidR="00E9597B" w:rsidRDefault="00E9597B" w:rsidP="00270CF9">
      <w:pPr>
        <w:spacing w:after="0" w:line="240" w:lineRule="auto"/>
      </w:pPr>
      <w:r>
        <w:separator/>
      </w:r>
    </w:p>
  </w:endnote>
  <w:endnote w:type="continuationSeparator" w:id="0">
    <w:p w14:paraId="07A43D83" w14:textId="77777777" w:rsidR="00E9597B" w:rsidRDefault="00E9597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BFB69" w14:textId="77777777" w:rsidR="00E9597B" w:rsidRDefault="00E9597B" w:rsidP="00270CF9">
      <w:pPr>
        <w:spacing w:after="0" w:line="240" w:lineRule="auto"/>
      </w:pPr>
      <w:r>
        <w:separator/>
      </w:r>
    </w:p>
  </w:footnote>
  <w:footnote w:type="continuationSeparator" w:id="0">
    <w:p w14:paraId="62F15B44" w14:textId="77777777" w:rsidR="00E9597B" w:rsidRDefault="00E9597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7"/>
  </w:num>
  <w:num w:numId="4" w16cid:durableId="1544361590">
    <w:abstractNumId w:val="32"/>
  </w:num>
  <w:num w:numId="5" w16cid:durableId="1919554203">
    <w:abstractNumId w:val="42"/>
  </w:num>
  <w:num w:numId="6" w16cid:durableId="1161315696">
    <w:abstractNumId w:val="3"/>
  </w:num>
  <w:num w:numId="7" w16cid:durableId="739135129">
    <w:abstractNumId w:val="41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4"/>
  </w:num>
  <w:num w:numId="14" w16cid:durableId="1873223527">
    <w:abstractNumId w:val="33"/>
  </w:num>
  <w:num w:numId="15" w16cid:durableId="1224413409">
    <w:abstractNumId w:val="28"/>
  </w:num>
  <w:num w:numId="16" w16cid:durableId="674693479">
    <w:abstractNumId w:val="43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0"/>
  </w:num>
  <w:num w:numId="23" w16cid:durableId="2011716700">
    <w:abstractNumId w:val="5"/>
  </w:num>
  <w:num w:numId="24" w16cid:durableId="1747222471">
    <w:abstractNumId w:val="31"/>
  </w:num>
  <w:num w:numId="25" w16cid:durableId="291250442">
    <w:abstractNumId w:val="35"/>
  </w:num>
  <w:num w:numId="26" w16cid:durableId="2042854463">
    <w:abstractNumId w:val="16"/>
  </w:num>
  <w:num w:numId="27" w16cid:durableId="1419445204">
    <w:abstractNumId w:val="39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4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7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6"/>
  </w:num>
  <w:num w:numId="39" w16cid:durableId="557397315">
    <w:abstractNumId w:val="46"/>
  </w:num>
  <w:num w:numId="40" w16cid:durableId="1766269906">
    <w:abstractNumId w:val="30"/>
  </w:num>
  <w:num w:numId="41" w16cid:durableId="128518320">
    <w:abstractNumId w:val="45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571738614">
    <w:abstractNumId w:val="38"/>
  </w:num>
  <w:num w:numId="47" w16cid:durableId="358287351">
    <w:abstractNumId w:val="15"/>
  </w:num>
  <w:num w:numId="48" w16cid:durableId="297539590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3A2F"/>
    <w:rsid w:val="00004D1F"/>
    <w:rsid w:val="00020D2A"/>
    <w:rsid w:val="00045C0D"/>
    <w:rsid w:val="00046E48"/>
    <w:rsid w:val="000555D7"/>
    <w:rsid w:val="00055E20"/>
    <w:rsid w:val="000643F6"/>
    <w:rsid w:val="00084220"/>
    <w:rsid w:val="00093F53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3942"/>
    <w:rsid w:val="00116CE8"/>
    <w:rsid w:val="001179E2"/>
    <w:rsid w:val="00126238"/>
    <w:rsid w:val="00140DAF"/>
    <w:rsid w:val="00141EFA"/>
    <w:rsid w:val="00147BF6"/>
    <w:rsid w:val="00155C80"/>
    <w:rsid w:val="0015615C"/>
    <w:rsid w:val="00163E3D"/>
    <w:rsid w:val="00165ACD"/>
    <w:rsid w:val="00165F8C"/>
    <w:rsid w:val="00166654"/>
    <w:rsid w:val="00174D9F"/>
    <w:rsid w:val="0017794B"/>
    <w:rsid w:val="00181B9D"/>
    <w:rsid w:val="00185099"/>
    <w:rsid w:val="0018709F"/>
    <w:rsid w:val="001A0086"/>
    <w:rsid w:val="001A2943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6AEC"/>
    <w:rsid w:val="00217D4E"/>
    <w:rsid w:val="00223055"/>
    <w:rsid w:val="00225A5C"/>
    <w:rsid w:val="00237245"/>
    <w:rsid w:val="00237D6C"/>
    <w:rsid w:val="0024715E"/>
    <w:rsid w:val="0025055D"/>
    <w:rsid w:val="00270CF9"/>
    <w:rsid w:val="002770CC"/>
    <w:rsid w:val="00277FDA"/>
    <w:rsid w:val="00285ED7"/>
    <w:rsid w:val="0029294F"/>
    <w:rsid w:val="00295135"/>
    <w:rsid w:val="002A1777"/>
    <w:rsid w:val="002A52F2"/>
    <w:rsid w:val="002A7450"/>
    <w:rsid w:val="002C174B"/>
    <w:rsid w:val="002D6B6D"/>
    <w:rsid w:val="002E4D2B"/>
    <w:rsid w:val="003015DB"/>
    <w:rsid w:val="00310779"/>
    <w:rsid w:val="0031238A"/>
    <w:rsid w:val="003135FC"/>
    <w:rsid w:val="00316F66"/>
    <w:rsid w:val="0032582E"/>
    <w:rsid w:val="0035423F"/>
    <w:rsid w:val="00356BDB"/>
    <w:rsid w:val="003622D3"/>
    <w:rsid w:val="003650B5"/>
    <w:rsid w:val="003701A2"/>
    <w:rsid w:val="00371540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A7270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04206"/>
    <w:rsid w:val="00417E6C"/>
    <w:rsid w:val="00421809"/>
    <w:rsid w:val="00431782"/>
    <w:rsid w:val="00437531"/>
    <w:rsid w:val="0044784F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86CD0"/>
    <w:rsid w:val="005A238B"/>
    <w:rsid w:val="005A47F4"/>
    <w:rsid w:val="005B0FED"/>
    <w:rsid w:val="005B3F69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95142"/>
    <w:rsid w:val="007A2A92"/>
    <w:rsid w:val="007A2BBC"/>
    <w:rsid w:val="007A4779"/>
    <w:rsid w:val="007A4DC5"/>
    <w:rsid w:val="007A6647"/>
    <w:rsid w:val="007A6A70"/>
    <w:rsid w:val="007B15BA"/>
    <w:rsid w:val="007B5719"/>
    <w:rsid w:val="007B7942"/>
    <w:rsid w:val="007C5407"/>
    <w:rsid w:val="007D413A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4C3"/>
    <w:rsid w:val="00897680"/>
    <w:rsid w:val="008A0FA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378E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3138"/>
    <w:rsid w:val="009F07D3"/>
    <w:rsid w:val="009F0DD3"/>
    <w:rsid w:val="009F38FB"/>
    <w:rsid w:val="00A01B9C"/>
    <w:rsid w:val="00A05A4D"/>
    <w:rsid w:val="00A152D1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38C1"/>
    <w:rsid w:val="00CA605B"/>
    <w:rsid w:val="00CB1FCA"/>
    <w:rsid w:val="00CC5337"/>
    <w:rsid w:val="00CD295D"/>
    <w:rsid w:val="00D03DAA"/>
    <w:rsid w:val="00D03E89"/>
    <w:rsid w:val="00D05BC8"/>
    <w:rsid w:val="00D163C0"/>
    <w:rsid w:val="00D207E3"/>
    <w:rsid w:val="00D403B3"/>
    <w:rsid w:val="00D40D4A"/>
    <w:rsid w:val="00D47BC3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82944"/>
    <w:rsid w:val="00E84407"/>
    <w:rsid w:val="00E87411"/>
    <w:rsid w:val="00E91C22"/>
    <w:rsid w:val="00E921F6"/>
    <w:rsid w:val="00E942B6"/>
    <w:rsid w:val="00E94C83"/>
    <w:rsid w:val="00E9597B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151"/>
    <w:rsid w:val="00EE263C"/>
    <w:rsid w:val="00EE6AC8"/>
    <w:rsid w:val="00EF11E3"/>
    <w:rsid w:val="00EF270F"/>
    <w:rsid w:val="00F018F7"/>
    <w:rsid w:val="00F046D6"/>
    <w:rsid w:val="00F049A3"/>
    <w:rsid w:val="00F06236"/>
    <w:rsid w:val="00F06C02"/>
    <w:rsid w:val="00F217DF"/>
    <w:rsid w:val="00F232ED"/>
    <w:rsid w:val="00F24762"/>
    <w:rsid w:val="00F261AF"/>
    <w:rsid w:val="00F30498"/>
    <w:rsid w:val="00F3122A"/>
    <w:rsid w:val="00F334F2"/>
    <w:rsid w:val="00F35811"/>
    <w:rsid w:val="00F518F5"/>
    <w:rsid w:val="00F539C5"/>
    <w:rsid w:val="00F61F19"/>
    <w:rsid w:val="00F6552A"/>
    <w:rsid w:val="00F738D9"/>
    <w:rsid w:val="00F775E6"/>
    <w:rsid w:val="00F93C4B"/>
    <w:rsid w:val="00F97DD6"/>
    <w:rsid w:val="00F97EF3"/>
    <w:rsid w:val="00FA6236"/>
    <w:rsid w:val="00FA7D50"/>
    <w:rsid w:val="00FB046B"/>
    <w:rsid w:val="00FB06E9"/>
    <w:rsid w:val="00FB1B23"/>
    <w:rsid w:val="00FB7F97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9</cp:revision>
  <cp:lastPrinted>2021-02-16T11:32:00Z</cp:lastPrinted>
  <dcterms:created xsi:type="dcterms:W3CDTF">2024-08-12T15:27:00Z</dcterms:created>
  <dcterms:modified xsi:type="dcterms:W3CDTF">2024-08-13T10:03:00Z</dcterms:modified>
</cp:coreProperties>
</file>