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61ADCFFF" w:rsidR="0017794B" w:rsidRPr="00AE3483" w:rsidRDefault="00393D49"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SERVICIUL EVALUARE, SELECȚIE ȘI CONTRACTARE PR SUD-MUNTENIA</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56344FEF" w:rsidR="001179E2" w:rsidRPr="00AE3483" w:rsidRDefault="00697F0B" w:rsidP="00393D49">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D92F8C" w:rsidRPr="00D92F8C">
        <w:rPr>
          <w:rFonts w:ascii="Trebuchet MS" w:hAnsi="Trebuchet MS"/>
          <w:sz w:val="24"/>
          <w:szCs w:val="24"/>
        </w:rPr>
        <w:t>Expertul desfăşoară activităţi specifice evaluării, selecției și contractării proiectelor, inclusiv activităţi logistice şi administrative necesare funcţionării  serviciului, întocmeşte rapoarte şi informări pentru procesul de evaluare, selecție și contractare, cu scopul de a contribui la îndeplinirea atribuţiilor Autorității de Management pentru PR Sud-Muntenia</w:t>
      </w:r>
      <w:r w:rsidR="001440A3">
        <w:rPr>
          <w:rFonts w:ascii="Trebuchet MS" w:hAnsi="Trebuchet MS"/>
          <w:sz w:val="24"/>
          <w:szCs w:val="24"/>
        </w:rPr>
        <w:t>.</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45A8BC3"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Studii superioare absolvite cu diplomă de licență în una dintre următoarele ramuri de știință: științe economice, inginerie civilă,inginerie electrică, electronică și telecomunicații, ingineria transporturilor, ingineria sistemelor, calculatore și tehnologia informațiilor sau inginerie mecanică, mecatronică, inginerie industrială și management- doar domeniile de licență:inginerie mecanică și inginerie industrială (conform nomenclatorului domeniilor și al specializărilor/ programelor de studii universitare);</w:t>
      </w:r>
    </w:p>
    <w:p w14:paraId="00B099A0"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Capacitatea de a lucra în echipă;</w:t>
      </w:r>
    </w:p>
    <w:p w14:paraId="1202442D"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Capacitatea de a gestiona un volum variabil de muncă și de a respecta termenele stabilite;</w:t>
      </w:r>
    </w:p>
    <w:p w14:paraId="7BFE3CE6"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Abilități de analiză, gestionare și prelucrare a informațiilor.</w:t>
      </w:r>
    </w:p>
    <w:p w14:paraId="637344FE" w14:textId="77777777" w:rsidR="007E56A4" w:rsidRPr="007E56A4" w:rsidRDefault="007E56A4" w:rsidP="007E56A4">
      <w:pPr>
        <w:rPr>
          <w:rFonts w:ascii="Trebuchet MS" w:hAnsi="Trebuchet MS" w:cs="Arial"/>
          <w:b/>
          <w:sz w:val="24"/>
          <w:szCs w:val="24"/>
          <w:lang w:eastAsia="ro-RO"/>
        </w:rPr>
      </w:pPr>
      <w:r w:rsidRPr="007E56A4">
        <w:rPr>
          <w:rFonts w:ascii="Trebuchet MS" w:hAnsi="Trebuchet MS" w:cs="Arial"/>
          <w:b/>
          <w:sz w:val="24"/>
          <w:szCs w:val="24"/>
          <w:lang w:eastAsia="ro-RO"/>
        </w:rPr>
        <w:t>Alte cerințe:</w:t>
      </w:r>
    </w:p>
    <w:p w14:paraId="198437D0" w14:textId="77777777" w:rsidR="007E56A4" w:rsidRPr="007E56A4" w:rsidRDefault="007E56A4" w:rsidP="007E56A4">
      <w:pPr>
        <w:pStyle w:val="ListParagraph"/>
        <w:numPr>
          <w:ilvl w:val="0"/>
          <w:numId w:val="48"/>
        </w:numPr>
        <w:rPr>
          <w:rFonts w:ascii="Trebuchet MS" w:hAnsi="Trebuchet MS"/>
          <w:sz w:val="24"/>
          <w:szCs w:val="24"/>
        </w:rPr>
      </w:pPr>
      <w:r w:rsidRPr="007E56A4">
        <w:rPr>
          <w:rFonts w:ascii="Trebuchet MS" w:hAnsi="Trebuchet MS" w:cs="Arial"/>
          <w:bCs/>
          <w:sz w:val="24"/>
          <w:szCs w:val="24"/>
          <w:lang w:eastAsia="ro-RO"/>
        </w:rPr>
        <w:t>Disponibilitate pentru deplasări în regiune și în țară</w:t>
      </w:r>
    </w:p>
    <w:p w14:paraId="1DEBA988" w14:textId="2ABC6BE7" w:rsidR="00AE3483" w:rsidRPr="007E56A4" w:rsidRDefault="0017794B" w:rsidP="007E56A4">
      <w:pPr>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1D1C7B6D" w14:textId="77777777" w:rsidR="00167018" w:rsidRPr="004673F4" w:rsidRDefault="00167018" w:rsidP="00167018">
      <w:pPr>
        <w:numPr>
          <w:ilvl w:val="0"/>
          <w:numId w:val="44"/>
        </w:numPr>
        <w:spacing w:after="0" w:line="240" w:lineRule="auto"/>
        <w:ind w:left="284" w:hanging="142"/>
        <w:jc w:val="both"/>
        <w:rPr>
          <w:rFonts w:ascii="Trebuchet MS" w:eastAsia="Times New Roman" w:hAnsi="Trebuchet MS" w:cs="Arial"/>
          <w:sz w:val="24"/>
          <w:szCs w:val="24"/>
        </w:rPr>
      </w:pPr>
      <w:bookmarkStart w:id="0" w:name="_Hlk144899608"/>
      <w:r w:rsidRPr="004673F4">
        <w:rPr>
          <w:rFonts w:ascii="Trebuchet MS" w:eastAsia="Times New Roman" w:hAnsi="Trebuchet MS" w:cs="Arial"/>
          <w:sz w:val="24"/>
          <w:szCs w:val="24"/>
        </w:rPr>
        <w:t>contribuie la elaborarea procedurilor și aplică procedurile și instrucțiunile specifice atribuțiilor ce îi revin pentru gestionarea PR SM 2021-2027;</w:t>
      </w:r>
    </w:p>
    <w:p w14:paraId="68B7D272" w14:textId="77777777" w:rsidR="00167018" w:rsidRPr="004673F4" w:rsidRDefault="00167018" w:rsidP="00167018">
      <w:pPr>
        <w:numPr>
          <w:ilvl w:val="0"/>
          <w:numId w:val="44"/>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schemelor de ajutor de stat/minimis în vederea lansării apelurilor de proiecte;</w:t>
      </w:r>
    </w:p>
    <w:bookmarkEnd w:id="0"/>
    <w:p w14:paraId="6F11550D" w14:textId="77777777" w:rsidR="00167018" w:rsidRPr="004673F4" w:rsidRDefault="00167018" w:rsidP="00167018">
      <w:pPr>
        <w:numPr>
          <w:ilvl w:val="0"/>
          <w:numId w:val="44"/>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procesul de negociere și implementare a Acordului de Finanțare cu Managerul de Fond, identificat pentru implementarea instrumentelor financiare prevăzute a fi utilizate în cadrul PR SM 2021-2027;</w:t>
      </w:r>
    </w:p>
    <w:p w14:paraId="06F8B44F" w14:textId="77777777" w:rsidR="00167018" w:rsidRPr="004673F4" w:rsidRDefault="00167018" w:rsidP="00167018">
      <w:pPr>
        <w:numPr>
          <w:ilvl w:val="0"/>
          <w:numId w:val="44"/>
        </w:numPr>
        <w:spacing w:after="0" w:line="240" w:lineRule="auto"/>
        <w:ind w:left="284" w:hanging="284"/>
        <w:jc w:val="both"/>
        <w:rPr>
          <w:rFonts w:ascii="Trebuchet MS" w:eastAsia="Times New Roman" w:hAnsi="Trebuchet MS" w:cs="Arial"/>
          <w:sz w:val="24"/>
          <w:szCs w:val="24"/>
        </w:rPr>
      </w:pPr>
      <w:r w:rsidRPr="004673F4">
        <w:rPr>
          <w:rFonts w:ascii="Trebuchet MS" w:eastAsia="Times New Roman" w:hAnsi="Trebuchet MS" w:cs="Arial"/>
          <w:sz w:val="24"/>
          <w:szCs w:val="24"/>
        </w:rPr>
        <w:lastRenderedPageBreak/>
        <w:t>contribuie la elaborarea calendarului apelurilor de proiecte în vederea transmiterii, spre publicare, ofițerului de comunicare al PR SM 2021-2027, în conformitate cu prevederile art. 49 din Regulamentul 2021/1060 privind dispozițiile comune;</w:t>
      </w:r>
    </w:p>
    <w:p w14:paraId="0E29F36C"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ghidurilor solicitantului, în vederea consultării publice, analizează și, după caz, asigură integrarea observațiilor/ recomandărilor primite, în vederea selectării operațiunilor din cadrul programului regional gestionat, în colaborare cu structurile din cadrul AM PR SM;</w:t>
      </w:r>
    </w:p>
    <w:p w14:paraId="7A6C3CF7"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criteriilor de evaluare şi selecţie a proiectelor pentru PR SM 2021-2027 în colaborare cu toate structurile din cadrul AM PR SM şi le transmite spre aprobare CM;</w:t>
      </w:r>
    </w:p>
    <w:p w14:paraId="256BBB8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procesului de lansare a apelurilor de proiecte aferente PR SM 2021-2027 și definește apelul de proiecte în sistemul informatic;</w:t>
      </w:r>
    </w:p>
    <w:p w14:paraId="3106F8C0"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procesului de evaluare a cererilor de finanţare</w:t>
      </w:r>
      <w:r w:rsidRPr="004673F4">
        <w:rPr>
          <w:rFonts w:ascii="Trebuchet MS" w:eastAsia="Times New Roman" w:hAnsi="Trebuchet MS" w:cs="Times New Roman"/>
          <w:sz w:val="24"/>
          <w:szCs w:val="24"/>
        </w:rPr>
        <w:t xml:space="preserve"> </w:t>
      </w:r>
      <w:r w:rsidRPr="004673F4">
        <w:rPr>
          <w:rFonts w:ascii="Trebuchet MS" w:eastAsia="Times New Roman" w:hAnsi="Trebuchet MS" w:cs="Arial"/>
          <w:sz w:val="24"/>
          <w:szCs w:val="24"/>
        </w:rPr>
        <w:t>în conformitate cu prevederile  art. 69, art. 72, art. 73 ale Regulamentului (UE) 2021/1060;</w:t>
      </w:r>
    </w:p>
    <w:p w14:paraId="7381A022"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și asigură buna desfășurare a etapelor procesului de evaluare a cererilor de finanțare, în conformitate cu procedurile operaționale relevante;</w:t>
      </w:r>
    </w:p>
    <w:p w14:paraId="4EE93601"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asigură corespondenţa cu potenţialii beneficiari pe întreaga durată a procesului de evaluare, selecție și contractare, în scopul îndeplinirii atribuțiilor şi a sarcinilor care îi revin, în limitele prevederilor regulamentelor interne, legislației naționale și europene, mandatelor acordate;</w:t>
      </w:r>
    </w:p>
    <w:p w14:paraId="63C9B5BA"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1" w:name="_Hlk144793517"/>
      <w:r w:rsidRPr="004673F4">
        <w:rPr>
          <w:rFonts w:ascii="Trebuchet MS" w:eastAsia="Times New Roman" w:hAnsi="Trebuchet MS" w:cs="Arial"/>
          <w:sz w:val="24"/>
          <w:szCs w:val="24"/>
        </w:rPr>
        <w:t>participă în cadrul comisiilor de soluţionare a contestaţiilor, în baza deciziilor d</w:t>
      </w:r>
      <w:r w:rsidRPr="004673F4">
        <w:rPr>
          <w:rFonts w:ascii="Trebuchet MS" w:eastAsia="MS Mincho" w:hAnsi="Trebuchet MS" w:cs="Arial"/>
          <w:sz w:val="24"/>
          <w:szCs w:val="24"/>
        </w:rPr>
        <w:t>irectorului AM PR SM;</w:t>
      </w:r>
      <w:bookmarkEnd w:id="1"/>
    </w:p>
    <w:p w14:paraId="4C4D99F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b/>
          <w:bCs/>
          <w:sz w:val="24"/>
          <w:szCs w:val="24"/>
        </w:rPr>
      </w:pPr>
      <w:r w:rsidRPr="004673F4">
        <w:rPr>
          <w:rFonts w:ascii="Trebuchet MS" w:eastAsia="Times New Roman" w:hAnsi="Trebuchet MS" w:cs="Arial"/>
          <w:sz w:val="24"/>
          <w:szCs w:val="24"/>
        </w:rPr>
        <w:t>pentru proiectele selectate, în baza deciziei de aprobare a finanțării, elaborează documentația necesară pentru încheierea contractului de finanțare/emiterea deciziei de finanțare, după caz, şi se asigură de îndeplinirea tuturor cerințelor, în conformitate cu procedura operațională relevantă;</w:t>
      </w:r>
    </w:p>
    <w:p w14:paraId="5818095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 xml:space="preserve">colaborează cu toate structurile furnizoare sau beneficiare de informații specifice domeniului său de activitate, referitor la </w:t>
      </w:r>
      <w:r w:rsidRPr="004673F4">
        <w:rPr>
          <w:rFonts w:ascii="Trebuchet MS" w:eastAsia="Times New Roman" w:hAnsi="Trebuchet MS" w:cs="Arial"/>
          <w:sz w:val="24"/>
          <w:szCs w:val="24"/>
        </w:rPr>
        <w:t>PR SM 2021-2027</w:t>
      </w:r>
      <w:r w:rsidRPr="004673F4">
        <w:rPr>
          <w:rFonts w:ascii="Trebuchet MS" w:eastAsia="Times New Roman" w:hAnsi="Trebuchet MS" w:cs="Times New Roman"/>
          <w:sz w:val="24"/>
          <w:szCs w:val="24"/>
        </w:rPr>
        <w:t>, în scopul îndeplinirii atribuțiilor şi a sarcinilor care îi revin, în limitele prevederilor regulamentelor interne, legislației naționale și europene, mandatelor acordate;</w:t>
      </w:r>
    </w:p>
    <w:p w14:paraId="2D2C524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MS Mincho" w:hAnsi="Trebuchet MS" w:cs="Arial"/>
          <w:sz w:val="24"/>
          <w:szCs w:val="24"/>
        </w:rPr>
        <w:t>înregistrează informaţiile specifice activităţii proprii în sistemele informatice şi răspunde de corectitudinea şi completitudinea datelor din competenţa sa, inclusiv pentru verificarea solicitanților cu ajutorul instrumentului informatic ARACHNE;</w:t>
      </w:r>
    </w:p>
    <w:p w14:paraId="185D8D05" w14:textId="77777777" w:rsidR="00167018" w:rsidRPr="004673F4" w:rsidRDefault="00167018" w:rsidP="00167018">
      <w:pPr>
        <w:numPr>
          <w:ilvl w:val="0"/>
          <w:numId w:val="47"/>
        </w:numPr>
        <w:shd w:val="clear" w:color="auto" w:fill="FFFFFF"/>
        <w:spacing w:after="0" w:line="240" w:lineRule="auto"/>
        <w:ind w:left="360"/>
        <w:jc w:val="both"/>
        <w:rPr>
          <w:rFonts w:ascii="Trebuchet MS" w:eastAsia="Times New Roman" w:hAnsi="Trebuchet MS" w:cs="Arial"/>
          <w:sz w:val="24"/>
          <w:szCs w:val="24"/>
        </w:rPr>
      </w:pPr>
      <w:r w:rsidRPr="004673F4">
        <w:rPr>
          <w:rFonts w:ascii="Trebuchet MS" w:eastAsia="Calibri" w:hAnsi="Trebuchet MS" w:cs="Arial"/>
          <w:sz w:val="24"/>
          <w:szCs w:val="24"/>
        </w:rPr>
        <w:t>transmite previziunile de contractare catre serviciul plăți și contabilitate proiecte pentru fundamentarea estimărilor privind creditele de angajament pentru fonduri UE şi contribuţie naţională;</w:t>
      </w:r>
    </w:p>
    <w:p w14:paraId="57F7ABC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are competenţe în faza de angajare a cheltuielilor din cadrul execuţiei bugetare, în condiţiile legii şi în conformitate cu procedurile proprii, specifice elaborării angajamentului de plată;</w:t>
      </w:r>
    </w:p>
    <w:p w14:paraId="53856BD3"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2" w:name="_Hlk144902011"/>
      <w:r w:rsidRPr="004673F4">
        <w:rPr>
          <w:rFonts w:ascii="Trebuchet MS" w:eastAsia="MS Mincho" w:hAnsi="Trebuchet MS" w:cs="Arial"/>
          <w:sz w:val="24"/>
          <w:szCs w:val="24"/>
        </w:rPr>
        <w:t xml:space="preserve">participă la elaborarea rapoartelor anuale de performanță și a raportului final de performanță pentru </w:t>
      </w:r>
      <w:r w:rsidRPr="004673F4">
        <w:rPr>
          <w:rFonts w:ascii="Trebuchet MS" w:eastAsia="Times New Roman" w:hAnsi="Trebuchet MS" w:cs="Arial"/>
          <w:sz w:val="24"/>
          <w:szCs w:val="24"/>
        </w:rPr>
        <w:t>PR SM 2021-2027;</w:t>
      </w:r>
      <w:bookmarkEnd w:id="2"/>
    </w:p>
    <w:p w14:paraId="40864D87"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3" w:name="_Hlk146178882"/>
      <w:r w:rsidRPr="004673F4">
        <w:rPr>
          <w:rFonts w:ascii="Trebuchet MS" w:eastAsia="Calibri" w:hAnsi="Trebuchet MS" w:cs="Arial"/>
          <w:sz w:val="24"/>
          <w:szCs w:val="24"/>
        </w:rPr>
        <w:t>furnizează serviciului gestionare și monitorizare program din cadrul direcției AM PR SM informații necesare raportării și monitorizării PRSM 2021-2027;</w:t>
      </w:r>
    </w:p>
    <w:p w14:paraId="7B58FFA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furnizează serviciului gestionare și monitorizare program din cadrul direcției AM PR SM informații necesare raportării și monitorizării schemelor de ajutor de stat/de minimis specifice PRSM 2021 -2027;</w:t>
      </w:r>
    </w:p>
    <w:bookmarkEnd w:id="3"/>
    <w:p w14:paraId="2054415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identifică riscurile asociate obiectivelor/activităților pe care le gestionează, conform cerințelor legale și procedurale intern;</w:t>
      </w:r>
    </w:p>
    <w:p w14:paraId="5B5BB618"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identificarea și evaluarea riscurilor de fraudă aferente proceselor de evaluare și selecție a operațiunilor finanțate, prin activități specifice echipelor constituite la nivelul AM PR SM 2021-2027 și asigură aplicarea măsurilor/controalelor eficace și proporționale adoptate în scopul prevenirii manifestării riscurilor de fraudă;</w:t>
      </w:r>
    </w:p>
    <w:p w14:paraId="68658A7D"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A7EBA1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înregistrează informaţiile specifice activităţii proprii în sistemele informatice şi răspunde de corectitudinea şi completitudinea datelor din competenţa sa;</w:t>
      </w:r>
    </w:p>
    <w:p w14:paraId="0AB61F03"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participă la sesiuni de formare/ seminarii/ forumuri/ reuniuni şi diseminează rezultatele acestora tuturor celor vizaţi de problematică;</w:t>
      </w:r>
    </w:p>
    <w:p w14:paraId="07D065F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asigură păstrarea documentelor proprii, în vederea arhivării, conform reglementărilor legale naţionale şi comunitare în materie;</w:t>
      </w:r>
    </w:p>
    <w:p w14:paraId="60E4B78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reprezintă serviciul/direcţia, în relaţia cu structuri de specialitate similare din cadrul altor instituţii, în baza dispoziției/rezoluției directorului general al ADR SM/directorului direcției AM PR SM;</w:t>
      </w:r>
    </w:p>
    <w:p w14:paraId="4162A1F8"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întocmeşte şi transmite, către diverse entități, situatii privind procesul de evaluare, selecţie și contractare în termenul, formatul şi condiţiile solicitate de diverse institutții/ conducerea AM PR Sud-Muntenia/ADR;</w:t>
      </w:r>
    </w:p>
    <w:p w14:paraId="7FEC89B2"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răspunde de corectitudinea documentelor întocmite personal;</w:t>
      </w:r>
    </w:p>
    <w:p w14:paraId="306B735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hAnsi="Trebuchet MS"/>
          <w:sz w:val="24"/>
          <w:szCs w:val="24"/>
        </w:rPr>
        <w:t>asigură și răspunde de confidențialitatea datelor la care are acces prin natura atribuțiilor de serviciu;</w:t>
      </w:r>
    </w:p>
    <w:p w14:paraId="2535A0D0"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răspunde și raportează în fața superiorului pentru îndeplinirea la termen a obiectivelor stabilite în urma evaluării performanțelor și a atribuțiilor specifice postului pe care îl ocupă;</w:t>
      </w:r>
    </w:p>
    <w:p w14:paraId="1566FFDE" w14:textId="77777777" w:rsidR="00167018" w:rsidRPr="00167018"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are obligația de a cunoaște și respecta prevederile regulamentului intern, ale regulamentului de organizare și funcționare a agenției, ale statutului agenției, precum și prevederile procedurilor interne de lucru aplicabile activității pe care o desfășoară;</w:t>
      </w:r>
    </w:p>
    <w:p w14:paraId="4FF9AFE0" w14:textId="77777777" w:rsidR="00167018" w:rsidRPr="00167018"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167018">
        <w:rPr>
          <w:rFonts w:ascii="Trebuchet MS" w:eastAsia="Times New Roman" w:hAnsi="Trebuchet MS" w:cs="Times New Roman"/>
          <w:sz w:val="24"/>
          <w:szCs w:val="24"/>
        </w:rPr>
        <w:t>respectă măsurile de sănătate și securitate a muncii în instituție.</w:t>
      </w:r>
    </w:p>
    <w:p w14:paraId="2963A53B" w14:textId="75B23073" w:rsidR="001179E2" w:rsidRPr="00AE3483" w:rsidRDefault="0017794B" w:rsidP="00167018">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16EA45F6"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șefului serviciului evaluare,selecție și contractare PR Sud-Muntenia</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1179E2">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1179E2">
      <w:pPr>
        <w:rPr>
          <w:rFonts w:ascii="Trebuchet MS" w:hAnsi="Trebuchet MS"/>
          <w:sz w:val="24"/>
          <w:szCs w:val="24"/>
        </w:rPr>
      </w:pPr>
    </w:p>
    <w:sectPr w:rsidR="001179E2" w:rsidRPr="00AE3483" w:rsidSect="00073355">
      <w:headerReference w:type="default" r:id="rId9"/>
      <w:footerReference w:type="default" r:id="rId10"/>
      <w:pgSz w:w="11906" w:h="16838"/>
      <w:pgMar w:top="709" w:right="1274"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A5F4E" w14:textId="77777777" w:rsidR="00073355" w:rsidRDefault="00073355" w:rsidP="00270CF9">
      <w:pPr>
        <w:spacing w:after="0" w:line="240" w:lineRule="auto"/>
      </w:pPr>
      <w:r>
        <w:separator/>
      </w:r>
    </w:p>
  </w:endnote>
  <w:endnote w:type="continuationSeparator" w:id="0">
    <w:p w14:paraId="3A5310ED" w14:textId="77777777" w:rsidR="00073355" w:rsidRDefault="00073355"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F5157" w14:textId="77777777" w:rsidR="00073355" w:rsidRDefault="00073355" w:rsidP="00270CF9">
      <w:pPr>
        <w:spacing w:after="0" w:line="240" w:lineRule="auto"/>
      </w:pPr>
      <w:r>
        <w:separator/>
      </w:r>
    </w:p>
  </w:footnote>
  <w:footnote w:type="continuationSeparator" w:id="0">
    <w:p w14:paraId="1D7947CA" w14:textId="77777777" w:rsidR="00073355" w:rsidRDefault="00073355"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9"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3"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0"/>
  </w:num>
  <w:num w:numId="2" w16cid:durableId="1271819131">
    <w:abstractNumId w:val="27"/>
  </w:num>
  <w:num w:numId="3" w16cid:durableId="2049408499">
    <w:abstractNumId w:val="36"/>
  </w:num>
  <w:num w:numId="4" w16cid:durableId="1544361590">
    <w:abstractNumId w:val="31"/>
  </w:num>
  <w:num w:numId="5" w16cid:durableId="1919554203">
    <w:abstractNumId w:val="41"/>
  </w:num>
  <w:num w:numId="6" w16cid:durableId="1161315696">
    <w:abstractNumId w:val="3"/>
  </w:num>
  <w:num w:numId="7" w16cid:durableId="739135129">
    <w:abstractNumId w:val="40"/>
  </w:num>
  <w:num w:numId="8" w16cid:durableId="1457944555">
    <w:abstractNumId w:val="26"/>
  </w:num>
  <w:num w:numId="9" w16cid:durableId="1763984663">
    <w:abstractNumId w:val="17"/>
  </w:num>
  <w:num w:numId="10" w16cid:durableId="2125998237">
    <w:abstractNumId w:val="19"/>
  </w:num>
  <w:num w:numId="11" w16cid:durableId="412239214">
    <w:abstractNumId w:val="6"/>
  </w:num>
  <w:num w:numId="12" w16cid:durableId="987435642">
    <w:abstractNumId w:val="15"/>
  </w:num>
  <w:num w:numId="13" w16cid:durableId="1670938157">
    <w:abstractNumId w:val="33"/>
  </w:num>
  <w:num w:numId="14" w16cid:durableId="1873223527">
    <w:abstractNumId w:val="32"/>
  </w:num>
  <w:num w:numId="15" w16cid:durableId="1224413409">
    <w:abstractNumId w:val="28"/>
  </w:num>
  <w:num w:numId="16" w16cid:durableId="674693479">
    <w:abstractNumId w:val="44"/>
  </w:num>
  <w:num w:numId="17" w16cid:durableId="1614240527">
    <w:abstractNumId w:val="22"/>
  </w:num>
  <w:num w:numId="18" w16cid:durableId="2118058462">
    <w:abstractNumId w:val="12"/>
  </w:num>
  <w:num w:numId="19" w16cid:durableId="240141826">
    <w:abstractNumId w:val="23"/>
  </w:num>
  <w:num w:numId="20" w16cid:durableId="1326713153">
    <w:abstractNumId w:val="24"/>
  </w:num>
  <w:num w:numId="21" w16cid:durableId="1408527849">
    <w:abstractNumId w:val="11"/>
  </w:num>
  <w:num w:numId="22" w16cid:durableId="190991830">
    <w:abstractNumId w:val="39"/>
  </w:num>
  <w:num w:numId="23" w16cid:durableId="2011716700">
    <w:abstractNumId w:val="5"/>
  </w:num>
  <w:num w:numId="24" w16cid:durableId="1747222471">
    <w:abstractNumId w:val="30"/>
  </w:num>
  <w:num w:numId="25" w16cid:durableId="291250442">
    <w:abstractNumId w:val="34"/>
  </w:num>
  <w:num w:numId="26" w16cid:durableId="2042854463">
    <w:abstractNumId w:val="16"/>
  </w:num>
  <w:num w:numId="27" w16cid:durableId="1419445204">
    <w:abstractNumId w:val="37"/>
  </w:num>
  <w:num w:numId="28" w16cid:durableId="548759880">
    <w:abstractNumId w:val="7"/>
  </w:num>
  <w:num w:numId="29" w16cid:durableId="1401247710">
    <w:abstractNumId w:val="2"/>
  </w:num>
  <w:num w:numId="30" w16cid:durableId="482506265">
    <w:abstractNumId w:val="18"/>
  </w:num>
  <w:num w:numId="31" w16cid:durableId="1314260716">
    <w:abstractNumId w:val="45"/>
  </w:num>
  <w:num w:numId="32" w16cid:durableId="1511601870">
    <w:abstractNumId w:val="0"/>
  </w:num>
  <w:num w:numId="33" w16cid:durableId="1791052765">
    <w:abstractNumId w:val="14"/>
  </w:num>
  <w:num w:numId="34" w16cid:durableId="1897424533">
    <w:abstractNumId w:val="47"/>
  </w:num>
  <w:num w:numId="35" w16cid:durableId="1302884050">
    <w:abstractNumId w:val="25"/>
  </w:num>
  <w:num w:numId="36" w16cid:durableId="1364525415">
    <w:abstractNumId w:val="29"/>
  </w:num>
  <w:num w:numId="37" w16cid:durableId="1712534313">
    <w:abstractNumId w:val="10"/>
  </w:num>
  <w:num w:numId="38" w16cid:durableId="1766916919">
    <w:abstractNumId w:val="35"/>
  </w:num>
  <w:num w:numId="39" w16cid:durableId="1329404776">
    <w:abstractNumId w:val="46"/>
  </w:num>
  <w:num w:numId="40" w16cid:durableId="1864513823">
    <w:abstractNumId w:val="21"/>
  </w:num>
  <w:num w:numId="41" w16cid:durableId="96945149">
    <w:abstractNumId w:val="9"/>
  </w:num>
  <w:num w:numId="42" w16cid:durableId="233399656">
    <w:abstractNumId w:val="1"/>
  </w:num>
  <w:num w:numId="43" w16cid:durableId="971055474">
    <w:abstractNumId w:val="8"/>
  </w:num>
  <w:num w:numId="44" w16cid:durableId="1963030982">
    <w:abstractNumId w:val="43"/>
  </w:num>
  <w:num w:numId="45" w16cid:durableId="870535150">
    <w:abstractNumId w:val="13"/>
  </w:num>
  <w:num w:numId="46" w16cid:durableId="1879195601">
    <w:abstractNumId w:val="42"/>
  </w:num>
  <w:num w:numId="47" w16cid:durableId="1033573723">
    <w:abstractNumId w:val="38"/>
  </w:num>
  <w:num w:numId="48" w16cid:durableId="1991977539">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67018"/>
    <w:rsid w:val="0017794B"/>
    <w:rsid w:val="00181B9D"/>
    <w:rsid w:val="00185099"/>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6703C"/>
    <w:rsid w:val="0077344E"/>
    <w:rsid w:val="0077598D"/>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598D"/>
    <w:rsid w:val="00A355D2"/>
    <w:rsid w:val="00A60331"/>
    <w:rsid w:val="00A70A6F"/>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7BC3"/>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1281</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33</cp:revision>
  <cp:lastPrinted>2021-02-16T11:32:00Z</cp:lastPrinted>
  <dcterms:created xsi:type="dcterms:W3CDTF">2021-06-15T07:41:00Z</dcterms:created>
  <dcterms:modified xsi:type="dcterms:W3CDTF">2024-01-10T14:12:00Z</dcterms:modified>
</cp:coreProperties>
</file>