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57FF4EED" w:rsidR="0017794B" w:rsidRPr="00AE3483" w:rsidRDefault="00133260"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BIROUL RESURSE UMANE</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50D01F81" w:rsidR="001179E2" w:rsidRPr="00AE3483" w:rsidRDefault="00697F0B" w:rsidP="00393D49">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AE3483" w:rsidRPr="00AE3483">
        <w:rPr>
          <w:rFonts w:ascii="Trebuchet MS" w:hAnsi="Trebuchet MS"/>
          <w:sz w:val="24"/>
          <w:szCs w:val="24"/>
        </w:rPr>
        <w:t>Expertul din cadrul</w:t>
      </w:r>
      <w:r w:rsidR="00393D49">
        <w:rPr>
          <w:rFonts w:ascii="Trebuchet MS" w:hAnsi="Trebuchet MS"/>
          <w:sz w:val="24"/>
          <w:szCs w:val="24"/>
        </w:rPr>
        <w:t xml:space="preserve"> biroului </w:t>
      </w:r>
      <w:r w:rsidR="00396FC6">
        <w:rPr>
          <w:rFonts w:ascii="Trebuchet MS" w:hAnsi="Trebuchet MS"/>
          <w:sz w:val="24"/>
          <w:szCs w:val="24"/>
        </w:rPr>
        <w:t>resurse umane</w:t>
      </w:r>
      <w:r w:rsidR="00393D49">
        <w:rPr>
          <w:rFonts w:ascii="Trebuchet MS" w:hAnsi="Trebuchet MS"/>
          <w:sz w:val="24"/>
          <w:szCs w:val="24"/>
        </w:rPr>
        <w:t xml:space="preserve"> desfășoară activități de </w:t>
      </w:r>
      <w:r w:rsidR="006A7758">
        <w:rPr>
          <w:rFonts w:ascii="Trebuchet MS" w:hAnsi="Trebuchet MS"/>
          <w:sz w:val="24"/>
          <w:szCs w:val="24"/>
        </w:rPr>
        <w:t xml:space="preserve">implementare a </w:t>
      </w:r>
      <w:r w:rsidR="00396FC6">
        <w:rPr>
          <w:rFonts w:ascii="Trebuchet MS" w:hAnsi="Trebuchet MS"/>
          <w:sz w:val="24"/>
          <w:szCs w:val="24"/>
        </w:rPr>
        <w:t>politicilor și procedurilor de resurse umane ale ADR Sud-Muntenia, cu respectarea legislației în materie de relații de muncă.</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6979C3B" w14:textId="1FF1902D" w:rsidR="00AE3483" w:rsidRPr="00AE3483" w:rsidRDefault="00AE3483" w:rsidP="001440A3">
      <w:pPr>
        <w:pStyle w:val="ListParagraph"/>
        <w:numPr>
          <w:ilvl w:val="0"/>
          <w:numId w:val="45"/>
        </w:numPr>
        <w:ind w:left="0"/>
        <w:rPr>
          <w:rFonts w:ascii="Trebuchet MS" w:hAnsi="Trebuchet MS"/>
          <w:sz w:val="24"/>
          <w:szCs w:val="24"/>
        </w:rPr>
      </w:pPr>
      <w:r w:rsidRPr="00AE3483">
        <w:rPr>
          <w:rFonts w:ascii="Trebuchet MS" w:hAnsi="Trebuchet MS" w:cs="Arial"/>
          <w:bCs/>
          <w:sz w:val="24"/>
          <w:szCs w:val="24"/>
          <w:lang w:eastAsia="ro-RO"/>
        </w:rPr>
        <w:t>Studii superioare absolvite cu diplomă de licență</w:t>
      </w:r>
      <w:r w:rsidR="0085084F">
        <w:rPr>
          <w:rFonts w:ascii="Trebuchet MS" w:hAnsi="Trebuchet MS" w:cs="Arial"/>
          <w:bCs/>
          <w:sz w:val="24"/>
          <w:szCs w:val="24"/>
          <w:lang w:eastAsia="ro-RO"/>
        </w:rPr>
        <w:t>;</w:t>
      </w:r>
    </w:p>
    <w:p w14:paraId="16FA4C1A" w14:textId="77777777" w:rsidR="00AE3171" w:rsidRPr="00490B90" w:rsidRDefault="00AE3171" w:rsidP="00AE3171">
      <w:pPr>
        <w:pStyle w:val="ListParagraph"/>
        <w:numPr>
          <w:ilvl w:val="0"/>
          <w:numId w:val="45"/>
        </w:numPr>
        <w:ind w:left="0"/>
        <w:rPr>
          <w:rFonts w:ascii="Trebuchet MS" w:hAnsi="Trebuchet MS"/>
          <w:sz w:val="24"/>
          <w:szCs w:val="24"/>
        </w:rPr>
      </w:pPr>
      <w:r w:rsidRPr="00490B90">
        <w:rPr>
          <w:rFonts w:ascii="Trebuchet MS" w:hAnsi="Trebuchet MS" w:cs="Arial"/>
          <w:bCs/>
          <w:sz w:val="24"/>
          <w:szCs w:val="24"/>
          <w:lang w:eastAsia="ro-RO"/>
        </w:rPr>
        <w:t>Minimum 1 an experiență în activități specifice uneia dintre ocupațiile grupei de bază 2423 ”Specialiști în domeniul resurselor umane și de personal” din Clasificarea ocupațiilor din România</w:t>
      </w:r>
      <w:r>
        <w:rPr>
          <w:rFonts w:ascii="Trebuchet MS" w:hAnsi="Trebuchet MS" w:cs="Arial"/>
          <w:bCs/>
          <w:sz w:val="24"/>
          <w:szCs w:val="24"/>
          <w:lang w:eastAsia="ro-RO"/>
        </w:rPr>
        <w:t>;</w:t>
      </w:r>
    </w:p>
    <w:p w14:paraId="1B463320"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Capacitatea de a lucra în echipă;</w:t>
      </w:r>
    </w:p>
    <w:p w14:paraId="6F241682"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Cunoștințe foarte bune de operare pe calculator</w:t>
      </w:r>
      <w:r>
        <w:rPr>
          <w:rFonts w:ascii="Trebuchet MS" w:hAnsi="Trebuchet MS"/>
          <w:sz w:val="24"/>
          <w:szCs w:val="24"/>
        </w:rPr>
        <w:t>;</w:t>
      </w:r>
    </w:p>
    <w:p w14:paraId="568068CB"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Capacitatea de a gestiona un volum variabil de muncă și de a respecta termenele stabilite;</w:t>
      </w:r>
    </w:p>
    <w:p w14:paraId="17411F6C"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Bune abilități de comunicare şi prezentare</w:t>
      </w:r>
      <w:r>
        <w:rPr>
          <w:rFonts w:ascii="Trebuchet MS" w:hAnsi="Trebuchet MS"/>
          <w:sz w:val="24"/>
          <w:szCs w:val="24"/>
        </w:rPr>
        <w:t>;</w:t>
      </w:r>
    </w:p>
    <w:p w14:paraId="385F2663"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Rezistență la stres</w:t>
      </w:r>
      <w:r>
        <w:rPr>
          <w:rFonts w:ascii="Trebuchet MS" w:hAnsi="Trebuchet MS"/>
          <w:sz w:val="24"/>
          <w:szCs w:val="24"/>
        </w:rPr>
        <w:t>;</w:t>
      </w:r>
    </w:p>
    <w:p w14:paraId="355067A0" w14:textId="77777777" w:rsidR="00AE3171" w:rsidRDefault="00AE3171" w:rsidP="00AE3171">
      <w:pPr>
        <w:pStyle w:val="ListParagraph"/>
        <w:numPr>
          <w:ilvl w:val="0"/>
          <w:numId w:val="45"/>
        </w:numPr>
        <w:ind w:left="0"/>
        <w:rPr>
          <w:rFonts w:ascii="Trebuchet MS" w:hAnsi="Trebuchet MS"/>
          <w:sz w:val="24"/>
          <w:szCs w:val="24"/>
        </w:rPr>
      </w:pPr>
      <w:r w:rsidRPr="00490B90">
        <w:rPr>
          <w:rFonts w:ascii="Trebuchet MS" w:hAnsi="Trebuchet MS"/>
          <w:sz w:val="24"/>
          <w:szCs w:val="24"/>
        </w:rPr>
        <w:t>Capacitate de adaptare la schimbare</w:t>
      </w:r>
      <w:r>
        <w:rPr>
          <w:rFonts w:ascii="Trebuchet MS" w:hAnsi="Trebuchet MS"/>
          <w:sz w:val="24"/>
          <w:szCs w:val="24"/>
        </w:rPr>
        <w:t>;</w:t>
      </w:r>
    </w:p>
    <w:p w14:paraId="68A43FC9" w14:textId="77777777" w:rsidR="00AE3171" w:rsidRPr="00490B90" w:rsidRDefault="00AE3171" w:rsidP="00AE3171">
      <w:pPr>
        <w:pStyle w:val="ListParagraph"/>
        <w:numPr>
          <w:ilvl w:val="0"/>
          <w:numId w:val="45"/>
        </w:numPr>
        <w:ind w:left="0"/>
        <w:rPr>
          <w:rFonts w:ascii="Trebuchet MS" w:hAnsi="Trebuchet MS"/>
          <w:sz w:val="24"/>
          <w:szCs w:val="24"/>
        </w:rPr>
      </w:pPr>
      <w:r w:rsidRPr="00AF1900">
        <w:rPr>
          <w:rFonts w:ascii="Trebuchet MS" w:hAnsi="Trebuchet MS"/>
          <w:sz w:val="24"/>
          <w:szCs w:val="24"/>
        </w:rPr>
        <w:t>Abilități de analiză, gestionare și prelucrare a informațiilor</w:t>
      </w:r>
      <w:r>
        <w:rPr>
          <w:rFonts w:ascii="Trebuchet MS" w:hAnsi="Trebuchet MS"/>
          <w:sz w:val="24"/>
          <w:szCs w:val="24"/>
        </w:rPr>
        <w:t>.</w:t>
      </w:r>
    </w:p>
    <w:p w14:paraId="002FF9FC" w14:textId="77777777" w:rsidR="00AE3171" w:rsidRPr="00C358CD" w:rsidRDefault="00AE3171" w:rsidP="00AE3171">
      <w:pPr>
        <w:ind w:left="284"/>
        <w:rPr>
          <w:rFonts w:ascii="Trebuchet MS" w:hAnsi="Trebuchet MS"/>
          <w:sz w:val="24"/>
          <w:szCs w:val="24"/>
        </w:rPr>
      </w:pPr>
      <w:r w:rsidRPr="00C358CD">
        <w:rPr>
          <w:rFonts w:ascii="Trebuchet MS" w:hAnsi="Trebuchet MS"/>
          <w:b/>
          <w:bCs/>
          <w:sz w:val="24"/>
          <w:szCs w:val="24"/>
        </w:rPr>
        <w:t>Alte cerințe</w:t>
      </w:r>
      <w:r>
        <w:rPr>
          <w:rFonts w:ascii="Trebuchet MS" w:hAnsi="Trebuchet MS"/>
          <w:sz w:val="24"/>
          <w:szCs w:val="24"/>
        </w:rPr>
        <w:t>:</w:t>
      </w:r>
    </w:p>
    <w:p w14:paraId="7A4FC8D4" w14:textId="29BD277E" w:rsidR="008C3830" w:rsidRPr="001440A3" w:rsidRDefault="00A06630" w:rsidP="00AE3171">
      <w:pPr>
        <w:pStyle w:val="ListParagraph"/>
        <w:numPr>
          <w:ilvl w:val="0"/>
          <w:numId w:val="45"/>
        </w:numPr>
        <w:ind w:left="0"/>
        <w:rPr>
          <w:rFonts w:ascii="Trebuchet MS" w:hAnsi="Trebuchet MS"/>
          <w:sz w:val="24"/>
          <w:szCs w:val="24"/>
        </w:rPr>
      </w:pPr>
      <w:r>
        <w:rPr>
          <w:rFonts w:ascii="Trebuchet MS" w:hAnsi="Trebuchet MS" w:cs="Arial"/>
          <w:bCs/>
          <w:sz w:val="24"/>
          <w:szCs w:val="24"/>
          <w:lang w:eastAsia="ro-RO"/>
        </w:rPr>
        <w:t>D</w:t>
      </w:r>
      <w:r w:rsidR="00AE3171" w:rsidRPr="00DC47A1">
        <w:rPr>
          <w:rFonts w:ascii="Trebuchet MS" w:hAnsi="Trebuchet MS" w:cs="Arial"/>
          <w:bCs/>
          <w:sz w:val="24"/>
          <w:szCs w:val="24"/>
          <w:lang w:eastAsia="ro-RO"/>
        </w:rPr>
        <w:t>isponibilitate pentru deplasări în</w:t>
      </w:r>
      <w:r w:rsidR="00AE3171">
        <w:rPr>
          <w:rFonts w:ascii="Trebuchet MS" w:hAnsi="Trebuchet MS" w:cs="Arial"/>
          <w:bCs/>
          <w:sz w:val="24"/>
          <w:szCs w:val="24"/>
          <w:lang w:eastAsia="ro-RO"/>
        </w:rPr>
        <w:t xml:space="preserve"> regiune și în țară</w:t>
      </w:r>
      <w:r w:rsidR="008C3830" w:rsidRPr="001440A3">
        <w:rPr>
          <w:rFonts w:ascii="Trebuchet MS" w:hAnsi="Trebuchet MS" w:cs="Arial"/>
          <w:bCs/>
          <w:sz w:val="24"/>
          <w:szCs w:val="24"/>
          <w:lang w:eastAsia="ro-RO"/>
        </w:rPr>
        <w:t>.</w:t>
      </w:r>
    </w:p>
    <w:p w14:paraId="1DEBA988" w14:textId="77777777" w:rsidR="00AE3483" w:rsidRPr="00AE3483" w:rsidRDefault="0017794B" w:rsidP="008C3830">
      <w:pPr>
        <w:rPr>
          <w:rFonts w:ascii="Trebuchet MS" w:hAnsi="Trebuchet MS"/>
          <w:sz w:val="24"/>
          <w:szCs w:val="24"/>
        </w:rPr>
      </w:pPr>
      <w:r w:rsidRPr="00AE3483">
        <w:rPr>
          <w:rFonts w:ascii="Trebuchet MS" w:hAnsi="Trebuchet MS"/>
          <w:b/>
          <w:bCs/>
          <w:sz w:val="24"/>
          <w:szCs w:val="24"/>
        </w:rPr>
        <w:t>5</w:t>
      </w:r>
      <w:r w:rsidR="00697F0B" w:rsidRPr="00AE3483">
        <w:rPr>
          <w:rFonts w:ascii="Trebuchet MS" w:hAnsi="Trebuchet MS"/>
          <w:b/>
          <w:bCs/>
          <w:sz w:val="24"/>
          <w:szCs w:val="24"/>
        </w:rPr>
        <w:t>.</w:t>
      </w:r>
      <w:r w:rsidR="001179E2" w:rsidRPr="00AE3483">
        <w:rPr>
          <w:rFonts w:ascii="Trebuchet MS" w:hAnsi="Trebuchet MS"/>
          <w:b/>
          <w:bCs/>
          <w:sz w:val="24"/>
          <w:szCs w:val="24"/>
        </w:rPr>
        <w:t>Atribuțiile ocupantului postului</w:t>
      </w:r>
      <w:r w:rsidR="001179E2" w:rsidRPr="00AE3483">
        <w:rPr>
          <w:rFonts w:ascii="Trebuchet MS" w:hAnsi="Trebuchet MS"/>
          <w:sz w:val="24"/>
          <w:szCs w:val="24"/>
        </w:rPr>
        <w:t xml:space="preserve">: </w:t>
      </w:r>
    </w:p>
    <w:p w14:paraId="11FEC060"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participă la</w:t>
      </w:r>
      <w:r w:rsidRPr="000B2077">
        <w:rPr>
          <w:rFonts w:ascii="Trebuchet MS" w:hAnsi="Trebuchet MS"/>
          <w:sz w:val="24"/>
          <w:szCs w:val="24"/>
        </w:rPr>
        <w:t xml:space="preserve"> activitatea de implementare a politicilor şi procedurilor de resurse umane ale ADR Sud</w:t>
      </w:r>
      <w:r>
        <w:rPr>
          <w:rFonts w:ascii="Trebuchet MS" w:hAnsi="Trebuchet MS"/>
          <w:sz w:val="24"/>
          <w:szCs w:val="24"/>
        </w:rPr>
        <w:t>-</w:t>
      </w:r>
      <w:r w:rsidRPr="000B2077">
        <w:rPr>
          <w:rFonts w:ascii="Trebuchet MS" w:hAnsi="Trebuchet MS"/>
          <w:sz w:val="24"/>
          <w:szCs w:val="24"/>
        </w:rPr>
        <w:t>Muntenia;</w:t>
      </w:r>
    </w:p>
    <w:p w14:paraId="7526E69B"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îndrumă şi sprijină angajații cu funcții de conducere în procesul de planificare a personalului;</w:t>
      </w:r>
    </w:p>
    <w:p w14:paraId="7069D04D"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 xml:space="preserve">participă la </w:t>
      </w:r>
      <w:r w:rsidRPr="000B2077">
        <w:rPr>
          <w:rFonts w:ascii="Trebuchet MS" w:hAnsi="Trebuchet MS"/>
          <w:sz w:val="24"/>
          <w:szCs w:val="24"/>
        </w:rPr>
        <w:t>implementarea procesului de recrutare şi selectie</w:t>
      </w:r>
      <w:r>
        <w:rPr>
          <w:rFonts w:ascii="Trebuchet MS" w:hAnsi="Trebuchet MS"/>
          <w:sz w:val="24"/>
          <w:szCs w:val="24"/>
        </w:rPr>
        <w:t>, cu respectarea prevederilor procedurilor interne și ale legislației în vigoare</w:t>
      </w:r>
      <w:r w:rsidRPr="000B2077">
        <w:rPr>
          <w:rFonts w:ascii="Trebuchet MS" w:hAnsi="Trebuchet MS"/>
          <w:sz w:val="24"/>
          <w:szCs w:val="24"/>
        </w:rPr>
        <w:t>;</w:t>
      </w:r>
    </w:p>
    <w:p w14:paraId="26690DE3"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participă la</w:t>
      </w:r>
      <w:r w:rsidRPr="000B2077">
        <w:rPr>
          <w:rFonts w:ascii="Trebuchet MS" w:hAnsi="Trebuchet MS"/>
          <w:sz w:val="24"/>
          <w:szCs w:val="24"/>
        </w:rPr>
        <w:t xml:space="preserve"> iniţierea profesională a personalului nou angajat în instituție;</w:t>
      </w:r>
    </w:p>
    <w:p w14:paraId="2746974E"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participă la</w:t>
      </w:r>
      <w:r w:rsidRPr="000B2077">
        <w:rPr>
          <w:rFonts w:ascii="Trebuchet MS" w:hAnsi="Trebuchet MS"/>
          <w:sz w:val="24"/>
          <w:szCs w:val="24"/>
        </w:rPr>
        <w:t xml:space="preserve"> implementarea procesului de management al performanţei;</w:t>
      </w:r>
    </w:p>
    <w:p w14:paraId="5A275D02"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lastRenderedPageBreak/>
        <w:t>sprijină</w:t>
      </w:r>
      <w:r w:rsidRPr="000B2077">
        <w:rPr>
          <w:rFonts w:ascii="Trebuchet MS" w:hAnsi="Trebuchet MS"/>
          <w:sz w:val="24"/>
          <w:szCs w:val="24"/>
        </w:rPr>
        <w:t xml:space="preserve"> desfășurarea activităților de instruire și dezvoltare la nivelul ADR Sud</w:t>
      </w:r>
      <w:r>
        <w:rPr>
          <w:rFonts w:ascii="Trebuchet MS" w:hAnsi="Trebuchet MS"/>
          <w:sz w:val="24"/>
          <w:szCs w:val="24"/>
        </w:rPr>
        <w:t>-</w:t>
      </w:r>
      <w:r w:rsidRPr="000B2077">
        <w:rPr>
          <w:rFonts w:ascii="Trebuchet MS" w:hAnsi="Trebuchet MS"/>
          <w:sz w:val="24"/>
          <w:szCs w:val="24"/>
        </w:rPr>
        <w:t>Muntenia și colaborează cu celelalte structuri ale instituției în vederea implementării acestora;</w:t>
      </w:r>
    </w:p>
    <w:p w14:paraId="3327EF1E"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elaborează, actualizează şi monitorizează implementarea planul de formare pentru angajații direcției  Autoritatea de Management PR Sud</w:t>
      </w:r>
      <w:r>
        <w:rPr>
          <w:rFonts w:ascii="Trebuchet MS" w:hAnsi="Trebuchet MS"/>
          <w:sz w:val="24"/>
          <w:szCs w:val="24"/>
        </w:rPr>
        <w:t>-</w:t>
      </w:r>
      <w:r w:rsidRPr="000B2077">
        <w:rPr>
          <w:rFonts w:ascii="Trebuchet MS" w:hAnsi="Trebuchet MS"/>
          <w:sz w:val="24"/>
          <w:szCs w:val="24"/>
        </w:rPr>
        <w:t>Muntenia;</w:t>
      </w:r>
    </w:p>
    <w:p w14:paraId="1E0D2020"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elaborează, actualizează și monitorizează implementarea planului de instruire și dezvoltare al ADR Sud-Muntenia;</w:t>
      </w:r>
    </w:p>
    <w:p w14:paraId="78963760"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 xml:space="preserve">monitorizează activităţile de resurse umane, păstrând evidenţele necesare, şi efectuează evaluarea  anuală a activităţilor de resurse umane; </w:t>
      </w:r>
    </w:p>
    <w:p w14:paraId="35D75037"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gestionează baza de date cu angajaţii ADR Sud</w:t>
      </w:r>
      <w:r>
        <w:rPr>
          <w:rFonts w:ascii="Trebuchet MS" w:hAnsi="Trebuchet MS"/>
          <w:sz w:val="24"/>
          <w:szCs w:val="24"/>
        </w:rPr>
        <w:t>-</w:t>
      </w:r>
      <w:r w:rsidRPr="000B2077">
        <w:rPr>
          <w:rFonts w:ascii="Trebuchet MS" w:hAnsi="Trebuchet MS"/>
          <w:sz w:val="24"/>
          <w:szCs w:val="24"/>
        </w:rPr>
        <w:t>Muntenia;</w:t>
      </w:r>
    </w:p>
    <w:p w14:paraId="202D2F04"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îndrumă şi oferă consiliere managerilor în probleme de management al personalului, respectiv recrutarea, iniţierea, evaluarea, procedurile disciplinare şi legislaţia muncii, asigurându-se că bunele practici sunt aplicate;</w:t>
      </w:r>
    </w:p>
    <w:p w14:paraId="0071688D"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elaborează şi păstrează dosarele de  personal şi documentele referitoare la angajarea, transferul, sancţionarea disciplinară, modificarea şi încetarea contractelor de muncă, concediile anuale( concedii de odihnă, concedii platite pentru studii sau fără plată aprobate, concedii medicale), evidenţa prezenţei zilnice a personalului, pensionarea personalului, în conformitate cu dispoziţiile legislaţiei muncii şi asigură confidenţialitatea datelor la care are acces;</w:t>
      </w:r>
    </w:p>
    <w:p w14:paraId="19C49043"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sprijină</w:t>
      </w:r>
      <w:r w:rsidRPr="000B2077">
        <w:rPr>
          <w:rFonts w:ascii="Trebuchet MS" w:hAnsi="Trebuchet MS"/>
          <w:sz w:val="24"/>
          <w:szCs w:val="24"/>
        </w:rPr>
        <w:t xml:space="preserve"> activitatea de întocmire a fişelor de post;</w:t>
      </w:r>
    </w:p>
    <w:p w14:paraId="24DF262C"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participă la elaborarea și modificarea regulamentul de organizare și funcționare al ADR Sud-Muntenia, organigramei și statului de funcții ale ADR Sud-Muntenia, cu consultarea și sprijinul directorului general, a superiorului și ale celorlalți angajații cu funcții de conducere din cadrul instituției;</w:t>
      </w:r>
    </w:p>
    <w:p w14:paraId="1FC81E12" w14:textId="77777777" w:rsidR="00060C3D"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răspunde pentru completarea şi gestionarea registrului electronic de evidenţă a salariaţilor, în conformitate cu legislaţia în vigoare;</w:t>
      </w:r>
    </w:p>
    <w:p w14:paraId="5B365D96" w14:textId="77777777" w:rsidR="00060C3D" w:rsidRPr="000B2077" w:rsidRDefault="00060C3D" w:rsidP="00060C3D">
      <w:pPr>
        <w:pStyle w:val="ListParagraph"/>
        <w:numPr>
          <w:ilvl w:val="0"/>
          <w:numId w:val="47"/>
        </w:numPr>
        <w:ind w:left="284" w:hanging="284"/>
        <w:rPr>
          <w:rFonts w:ascii="Trebuchet MS" w:hAnsi="Trebuchet MS"/>
          <w:sz w:val="24"/>
          <w:szCs w:val="24"/>
        </w:rPr>
      </w:pPr>
      <w:r>
        <w:rPr>
          <w:rFonts w:ascii="Trebuchet MS" w:hAnsi="Trebuchet MS"/>
          <w:sz w:val="24"/>
          <w:szCs w:val="24"/>
        </w:rPr>
        <w:t>participă la implementarea acțiunilor specifice biroului resurse umane,conform planului de acțiuni al Foii regionale de parcurs pentru consolidarea capacității administrative;</w:t>
      </w:r>
    </w:p>
    <w:p w14:paraId="4FB118CC" w14:textId="77777777" w:rsidR="00060C3D"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desfășoară activități specifice de suport pentru Direcția Autoritatea de Management  PR Sud Muntenia, conform cadrului procedural și legislației în vigoare;</w:t>
      </w:r>
    </w:p>
    <w:p w14:paraId="58112F69" w14:textId="77777777" w:rsidR="00060C3D" w:rsidRPr="00117375" w:rsidRDefault="00060C3D" w:rsidP="00060C3D">
      <w:pPr>
        <w:pStyle w:val="ListParagraph"/>
        <w:numPr>
          <w:ilvl w:val="0"/>
          <w:numId w:val="48"/>
        </w:numPr>
        <w:autoSpaceDE w:val="0"/>
        <w:autoSpaceDN w:val="0"/>
        <w:adjustRightInd w:val="0"/>
        <w:spacing w:line="276" w:lineRule="auto"/>
        <w:ind w:left="284"/>
        <w:jc w:val="both"/>
        <w:rPr>
          <w:rFonts w:ascii="Trebuchet MS" w:eastAsia="Calibri" w:hAnsi="Trebuchet MS" w:cs="Times New Roman"/>
          <w:sz w:val="24"/>
          <w:szCs w:val="24"/>
        </w:rPr>
      </w:pPr>
      <w:r w:rsidRPr="00117375">
        <w:rPr>
          <w:rFonts w:ascii="Trebuchet MS" w:eastAsia="Calibri" w:hAnsi="Trebuchet MS" w:cs="Arial"/>
          <w:noProof/>
          <w:sz w:val="24"/>
          <w:szCs w:val="24"/>
        </w:rPr>
        <w:t>solicită angajaților ADRSM depunerea declarațiilor de interese și asigură înregistrarea acestora în registrul de evidență, conform prevederilor procedurii de sistem aplicabile și ale legislației în vigoare;</w:t>
      </w:r>
    </w:p>
    <w:p w14:paraId="2654BF2A" w14:textId="77777777" w:rsidR="00060C3D" w:rsidRPr="006241F1" w:rsidRDefault="00060C3D" w:rsidP="00060C3D">
      <w:pPr>
        <w:pStyle w:val="ListParagraph"/>
        <w:numPr>
          <w:ilvl w:val="0"/>
          <w:numId w:val="48"/>
        </w:numPr>
        <w:autoSpaceDE w:val="0"/>
        <w:autoSpaceDN w:val="0"/>
        <w:adjustRightInd w:val="0"/>
        <w:spacing w:line="276" w:lineRule="auto"/>
        <w:ind w:left="284"/>
        <w:jc w:val="both"/>
        <w:rPr>
          <w:rFonts w:ascii="Trebuchet MS" w:eastAsia="Calibri" w:hAnsi="Trebuchet MS" w:cs="Times New Roman"/>
          <w:bCs/>
          <w:sz w:val="24"/>
          <w:szCs w:val="24"/>
        </w:rPr>
      </w:pPr>
      <w:r w:rsidRPr="006241F1">
        <w:rPr>
          <w:rFonts w:ascii="Trebuchet MS" w:hAnsi="Trebuchet MS"/>
          <w:sz w:val="24"/>
          <w:szCs w:val="24"/>
        </w:rPr>
        <w:t>arhivează documentele aferente activităţii, în conformitate cu legislaţia naţională şi comunitară relevantă;</w:t>
      </w:r>
    </w:p>
    <w:p w14:paraId="1C3676F1"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asigură și răspunde de confidențialitatea datelor la care are acces prin natura atribuțiilor de serviciu;</w:t>
      </w:r>
    </w:p>
    <w:p w14:paraId="707DB65E"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colaborează cu toate serviciile, birourile şi compartimentele din cadrul ADR Sud Muntenia, în îndeplinirea sarcinilor ce îi revin;</w:t>
      </w:r>
    </w:p>
    <w:p w14:paraId="21CA248B"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asigură un management adecvat al riscurilor asociate activităţii de resurse umane;</w:t>
      </w:r>
    </w:p>
    <w:p w14:paraId="62E8ADA7"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notifică, în conformitate cu procedurilor interne relevante, orice neregulă identificată pe parcursul desfăşurării activităţilor privind implementarea POR 2014-2020 în regiunea Sud Muntenia;</w:t>
      </w:r>
    </w:p>
    <w:p w14:paraId="135AD29C"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1E4E7694" w14:textId="77777777" w:rsidR="00060C3D" w:rsidRPr="000B2077"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4327BF51" w14:textId="77777777" w:rsidR="00060C3D" w:rsidRDefault="00060C3D" w:rsidP="00060C3D">
      <w:pPr>
        <w:pStyle w:val="ListParagraph"/>
        <w:numPr>
          <w:ilvl w:val="0"/>
          <w:numId w:val="47"/>
        </w:numPr>
        <w:ind w:left="284" w:hanging="284"/>
        <w:rPr>
          <w:rFonts w:ascii="Trebuchet MS" w:hAnsi="Trebuchet MS"/>
          <w:sz w:val="24"/>
          <w:szCs w:val="24"/>
        </w:rPr>
      </w:pPr>
      <w:r w:rsidRPr="000B2077">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p>
    <w:p w14:paraId="18E73476" w14:textId="3E3E2C1F" w:rsidR="00060C3D" w:rsidRPr="00060C3D" w:rsidRDefault="00060C3D" w:rsidP="00060C3D">
      <w:pPr>
        <w:pStyle w:val="ListParagraph"/>
        <w:numPr>
          <w:ilvl w:val="0"/>
          <w:numId w:val="47"/>
        </w:numPr>
        <w:ind w:left="284" w:hanging="284"/>
        <w:rPr>
          <w:rFonts w:ascii="Trebuchet MS" w:hAnsi="Trebuchet MS"/>
          <w:sz w:val="24"/>
          <w:szCs w:val="24"/>
        </w:rPr>
      </w:pPr>
      <w:r w:rsidRPr="00060C3D">
        <w:rPr>
          <w:rFonts w:ascii="Trebuchet MS" w:hAnsi="Trebuchet MS"/>
          <w:sz w:val="24"/>
          <w:szCs w:val="24"/>
        </w:rPr>
        <w:t>respectă măsurile de sănătate și securitate a muncii în instituție</w:t>
      </w:r>
      <w:r>
        <w:rPr>
          <w:rFonts w:ascii="Trebuchet MS" w:hAnsi="Trebuchet MS"/>
          <w:sz w:val="24"/>
          <w:szCs w:val="24"/>
        </w:rPr>
        <w:t>.</w:t>
      </w:r>
    </w:p>
    <w:p w14:paraId="2963A53B" w14:textId="15AC9545" w:rsidR="001179E2" w:rsidRPr="00AE3483" w:rsidRDefault="0017794B" w:rsidP="00060C3D">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7FF9D480"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A70CCA">
        <w:rPr>
          <w:rFonts w:ascii="Trebuchet MS" w:hAnsi="Trebuchet MS"/>
          <w:sz w:val="24"/>
          <w:szCs w:val="24"/>
        </w:rPr>
        <w:t>șefului biroului rersurse umane</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02B1D0FE"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w:t>
      </w:r>
      <w:r w:rsidR="00A70CCA">
        <w:rPr>
          <w:rFonts w:ascii="Trebuchet MS" w:hAnsi="Trebuchet MS"/>
          <w:sz w:val="24"/>
          <w:szCs w:val="24"/>
        </w:rPr>
        <w:t>biroul</w:t>
      </w:r>
      <w:r w:rsidR="008C3830" w:rsidRPr="00AE3483">
        <w:rPr>
          <w:rFonts w:ascii="Trebuchet MS" w:hAnsi="Trebuchet MS"/>
          <w:sz w:val="24"/>
          <w:szCs w:val="24"/>
        </w:rPr>
        <w:t xml:space="preserve">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18E6E7DE" w:rsidR="001179E2" w:rsidRPr="00AE3483" w:rsidRDefault="001179E2" w:rsidP="00A70CCA">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r w:rsidR="00A70CCA">
        <w:rPr>
          <w:rFonts w:ascii="Trebuchet MS" w:hAnsi="Trebuchet MS"/>
          <w:sz w:val="24"/>
          <w:szCs w:val="24"/>
        </w:rPr>
        <w:t>.</w:t>
      </w:r>
    </w:p>
    <w:sectPr w:rsidR="001179E2" w:rsidRPr="00AE3483" w:rsidSect="001A1D9E">
      <w:headerReference w:type="default" r:id="rId9"/>
      <w:footerReference w:type="default" r:id="rId10"/>
      <w:pgSz w:w="11906" w:h="16838"/>
      <w:pgMar w:top="709" w:right="1274"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D4085" w14:textId="77777777" w:rsidR="001A1D9E" w:rsidRDefault="001A1D9E" w:rsidP="00270CF9">
      <w:pPr>
        <w:spacing w:after="0" w:line="240" w:lineRule="auto"/>
      </w:pPr>
      <w:r>
        <w:separator/>
      </w:r>
    </w:p>
  </w:endnote>
  <w:endnote w:type="continuationSeparator" w:id="0">
    <w:p w14:paraId="40ECD31A" w14:textId="77777777" w:rsidR="001A1D9E" w:rsidRDefault="001A1D9E"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4150C" w14:textId="77777777" w:rsidR="001A1D9E" w:rsidRDefault="001A1D9E" w:rsidP="00270CF9">
      <w:pPr>
        <w:spacing w:after="0" w:line="240" w:lineRule="auto"/>
      </w:pPr>
      <w:r>
        <w:separator/>
      </w:r>
    </w:p>
  </w:footnote>
  <w:footnote w:type="continuationSeparator" w:id="0">
    <w:p w14:paraId="697EBB82" w14:textId="77777777" w:rsidR="001A1D9E" w:rsidRDefault="001A1D9E"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BD49A1"/>
    <w:multiLevelType w:val="hybridMultilevel"/>
    <w:tmpl w:val="CDDCFB1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0E32C57"/>
    <w:multiLevelType w:val="hybridMultilevel"/>
    <w:tmpl w:val="688E7E1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3"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1"/>
  </w:num>
  <w:num w:numId="2" w16cid:durableId="1271819131">
    <w:abstractNumId w:val="28"/>
  </w:num>
  <w:num w:numId="3" w16cid:durableId="2049408499">
    <w:abstractNumId w:val="37"/>
  </w:num>
  <w:num w:numId="4" w16cid:durableId="1544361590">
    <w:abstractNumId w:val="32"/>
  </w:num>
  <w:num w:numId="5" w16cid:durableId="1919554203">
    <w:abstractNumId w:val="41"/>
  </w:num>
  <w:num w:numId="6" w16cid:durableId="1161315696">
    <w:abstractNumId w:val="4"/>
  </w:num>
  <w:num w:numId="7" w16cid:durableId="739135129">
    <w:abstractNumId w:val="40"/>
  </w:num>
  <w:num w:numId="8" w16cid:durableId="1457944555">
    <w:abstractNumId w:val="27"/>
  </w:num>
  <w:num w:numId="9" w16cid:durableId="1763984663">
    <w:abstractNumId w:val="18"/>
  </w:num>
  <w:num w:numId="10" w16cid:durableId="2125998237">
    <w:abstractNumId w:val="20"/>
  </w:num>
  <w:num w:numId="11" w16cid:durableId="412239214">
    <w:abstractNumId w:val="6"/>
  </w:num>
  <w:num w:numId="12" w16cid:durableId="987435642">
    <w:abstractNumId w:val="15"/>
  </w:num>
  <w:num w:numId="13" w16cid:durableId="1670938157">
    <w:abstractNumId w:val="34"/>
  </w:num>
  <w:num w:numId="14" w16cid:durableId="1873223527">
    <w:abstractNumId w:val="33"/>
  </w:num>
  <w:num w:numId="15" w16cid:durableId="1224413409">
    <w:abstractNumId w:val="29"/>
  </w:num>
  <w:num w:numId="16" w16cid:durableId="674693479">
    <w:abstractNumId w:val="44"/>
  </w:num>
  <w:num w:numId="17" w16cid:durableId="1614240527">
    <w:abstractNumId w:val="23"/>
  </w:num>
  <w:num w:numId="18" w16cid:durableId="2118058462">
    <w:abstractNumId w:val="12"/>
  </w:num>
  <w:num w:numId="19" w16cid:durableId="240141826">
    <w:abstractNumId w:val="24"/>
  </w:num>
  <w:num w:numId="20" w16cid:durableId="1326713153">
    <w:abstractNumId w:val="25"/>
  </w:num>
  <w:num w:numId="21" w16cid:durableId="1408527849">
    <w:abstractNumId w:val="11"/>
  </w:num>
  <w:num w:numId="22" w16cid:durableId="190991830">
    <w:abstractNumId w:val="39"/>
  </w:num>
  <w:num w:numId="23" w16cid:durableId="2011716700">
    <w:abstractNumId w:val="5"/>
  </w:num>
  <w:num w:numId="24" w16cid:durableId="1747222471">
    <w:abstractNumId w:val="31"/>
  </w:num>
  <w:num w:numId="25" w16cid:durableId="291250442">
    <w:abstractNumId w:val="35"/>
  </w:num>
  <w:num w:numId="26" w16cid:durableId="2042854463">
    <w:abstractNumId w:val="16"/>
  </w:num>
  <w:num w:numId="27" w16cid:durableId="1419445204">
    <w:abstractNumId w:val="38"/>
  </w:num>
  <w:num w:numId="28" w16cid:durableId="548759880">
    <w:abstractNumId w:val="7"/>
  </w:num>
  <w:num w:numId="29" w16cid:durableId="1401247710">
    <w:abstractNumId w:val="3"/>
  </w:num>
  <w:num w:numId="30" w16cid:durableId="482506265">
    <w:abstractNumId w:val="19"/>
  </w:num>
  <w:num w:numId="31" w16cid:durableId="1314260716">
    <w:abstractNumId w:val="45"/>
  </w:num>
  <w:num w:numId="32" w16cid:durableId="1511601870">
    <w:abstractNumId w:val="0"/>
  </w:num>
  <w:num w:numId="33" w16cid:durableId="1791052765">
    <w:abstractNumId w:val="14"/>
  </w:num>
  <w:num w:numId="34" w16cid:durableId="1897424533">
    <w:abstractNumId w:val="47"/>
  </w:num>
  <w:num w:numId="35" w16cid:durableId="1302884050">
    <w:abstractNumId w:val="26"/>
  </w:num>
  <w:num w:numId="36" w16cid:durableId="1364525415">
    <w:abstractNumId w:val="30"/>
  </w:num>
  <w:num w:numId="37" w16cid:durableId="1712534313">
    <w:abstractNumId w:val="10"/>
  </w:num>
  <w:num w:numId="38" w16cid:durableId="1766916919">
    <w:abstractNumId w:val="36"/>
  </w:num>
  <w:num w:numId="39" w16cid:durableId="1329404776">
    <w:abstractNumId w:val="46"/>
  </w:num>
  <w:num w:numId="40" w16cid:durableId="1864513823">
    <w:abstractNumId w:val="22"/>
  </w:num>
  <w:num w:numId="41" w16cid:durableId="96945149">
    <w:abstractNumId w:val="9"/>
  </w:num>
  <w:num w:numId="42" w16cid:durableId="233399656">
    <w:abstractNumId w:val="1"/>
  </w:num>
  <w:num w:numId="43" w16cid:durableId="971055474">
    <w:abstractNumId w:val="8"/>
  </w:num>
  <w:num w:numId="44" w16cid:durableId="1963030982">
    <w:abstractNumId w:val="43"/>
  </w:num>
  <w:num w:numId="45" w16cid:durableId="870535150">
    <w:abstractNumId w:val="13"/>
  </w:num>
  <w:num w:numId="46" w16cid:durableId="1879195601">
    <w:abstractNumId w:val="42"/>
  </w:num>
  <w:num w:numId="47" w16cid:durableId="1978217071">
    <w:abstractNumId w:val="2"/>
  </w:num>
  <w:num w:numId="48" w16cid:durableId="1991129272">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0C3D"/>
    <w:rsid w:val="000643F6"/>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33260"/>
    <w:rsid w:val="00140DAF"/>
    <w:rsid w:val="00141EFA"/>
    <w:rsid w:val="001440A3"/>
    <w:rsid w:val="00147BF6"/>
    <w:rsid w:val="00155C80"/>
    <w:rsid w:val="0015615C"/>
    <w:rsid w:val="00163E3D"/>
    <w:rsid w:val="00165F8C"/>
    <w:rsid w:val="00166654"/>
    <w:rsid w:val="0017794B"/>
    <w:rsid w:val="00181B9D"/>
    <w:rsid w:val="00185099"/>
    <w:rsid w:val="001A1D9E"/>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5276B"/>
    <w:rsid w:val="00261734"/>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3D49"/>
    <w:rsid w:val="00396339"/>
    <w:rsid w:val="00396FC6"/>
    <w:rsid w:val="003A5136"/>
    <w:rsid w:val="003A555A"/>
    <w:rsid w:val="003C3D0C"/>
    <w:rsid w:val="003C51CA"/>
    <w:rsid w:val="003C63CF"/>
    <w:rsid w:val="003C6E94"/>
    <w:rsid w:val="003C6E9F"/>
    <w:rsid w:val="003D07A4"/>
    <w:rsid w:val="003D26D9"/>
    <w:rsid w:val="003D4024"/>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72657"/>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6703C"/>
    <w:rsid w:val="0077344E"/>
    <w:rsid w:val="0077598D"/>
    <w:rsid w:val="00787137"/>
    <w:rsid w:val="007A2A92"/>
    <w:rsid w:val="007A4779"/>
    <w:rsid w:val="007A4DC5"/>
    <w:rsid w:val="007A6A70"/>
    <w:rsid w:val="007A7C6E"/>
    <w:rsid w:val="007B15BA"/>
    <w:rsid w:val="007B5719"/>
    <w:rsid w:val="007B7942"/>
    <w:rsid w:val="007C5407"/>
    <w:rsid w:val="007D472A"/>
    <w:rsid w:val="007D5875"/>
    <w:rsid w:val="007E2563"/>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084F"/>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137BE"/>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06630"/>
    <w:rsid w:val="00A22284"/>
    <w:rsid w:val="00A2598D"/>
    <w:rsid w:val="00A355D2"/>
    <w:rsid w:val="00A60331"/>
    <w:rsid w:val="00A70A6F"/>
    <w:rsid w:val="00A70CCA"/>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171"/>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7BC3"/>
    <w:rsid w:val="00D65A77"/>
    <w:rsid w:val="00D764DE"/>
    <w:rsid w:val="00D802CD"/>
    <w:rsid w:val="00D84432"/>
    <w:rsid w:val="00D866AC"/>
    <w:rsid w:val="00D9000B"/>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935</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42</cp:revision>
  <cp:lastPrinted>2021-02-16T11:32:00Z</cp:lastPrinted>
  <dcterms:created xsi:type="dcterms:W3CDTF">2021-06-15T07:41:00Z</dcterms:created>
  <dcterms:modified xsi:type="dcterms:W3CDTF">2024-01-12T12:03:00Z</dcterms:modified>
</cp:coreProperties>
</file>