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2349F9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Instituţia/structura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finanţare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349F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  <w:r w:rsidR="0020504D" w:rsidRPr="004C7390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2349F9">
              <w:rPr>
                <w:bCs/>
                <w:i/>
                <w:iCs/>
                <w:sz w:val="22"/>
                <w:szCs w:val="22"/>
                <w:lang w:val="it-IT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„O Europă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cetatenii sai”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Rezultate aşteptate</w:t>
            </w:r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2349F9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  <w:p w14:paraId="675478EC" w14:textId="08A26C8C" w:rsidR="005C4D70" w:rsidRPr="002349F9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 xml:space="preserve">Obs. Se vor avea </w:t>
            </w:r>
            <w:r w:rsidR="00056292" w:rsidRPr="002349F9">
              <w:rPr>
                <w:rFonts w:ascii="Times New Roman" w:hAnsi="Times New Roman"/>
                <w:i/>
                <w:iCs/>
                <w:lang w:val="it-IT"/>
              </w:rPr>
              <w:t>î</w:t>
            </w:r>
            <w:r w:rsidRPr="002349F9">
              <w:rPr>
                <w:rFonts w:ascii="Times New Roman" w:hAnsi="Times New Roman"/>
                <w:i/>
                <w:iCs/>
                <w:lang w:val="it-IT"/>
              </w:rPr>
              <w:t>n vedere tipurile de Indicatori de rezultat din propunerea de Regulament privind fondurile europene destinate politicii de coeziune 2021-2027:</w:t>
            </w:r>
          </w:p>
          <w:p w14:paraId="74404F59" w14:textId="09AD8EB1" w:rsidR="00B671EF" w:rsidRPr="002349F9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349F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2349F9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>Obs. Se vor avea in vedere tipurile de Indicatori de realizare din propunerea de Regulament privind fondurile europene destinate politicii de coeziune 2021-2027:</w:t>
            </w:r>
          </w:p>
          <w:p w14:paraId="62FB5E52" w14:textId="352C5DA3" w:rsidR="00290520" w:rsidRPr="002349F9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349F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2349F9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 xml:space="preserve">Strategia/Strategiile/Alte studii în care se încadrează proiectul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349F9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2349F9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 xml:space="preserve">Intervențiile </w:t>
            </w:r>
            <w:r w:rsidR="00576609" w:rsidRPr="002349F9">
              <w:rPr>
                <w:rFonts w:ascii="Times New Roman" w:hAnsi="Times New Roman"/>
                <w:b/>
                <w:lang w:val="it-IT"/>
              </w:rPr>
              <w:t xml:space="preserve">proiectului de investiție </w:t>
            </w:r>
            <w:r w:rsidRPr="002349F9">
              <w:rPr>
                <w:rFonts w:ascii="Times New Roman" w:hAnsi="Times New Roman"/>
                <w:b/>
                <w:lang w:val="it-IT"/>
              </w:rPr>
              <w:t>au în vedere: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lastRenderedPageBreak/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2349F9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>Proiectul se afl</w:t>
            </w:r>
            <w:r w:rsidR="00720DF0" w:rsidRPr="002349F9">
              <w:rPr>
                <w:rFonts w:ascii="Times New Roman" w:hAnsi="Times New Roman"/>
                <w:b/>
                <w:lang w:val="it-IT"/>
              </w:rPr>
              <w:t>ă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pe lista de rezerv</w:t>
            </w:r>
            <w:r w:rsidR="00720DF0" w:rsidRPr="002349F9">
              <w:rPr>
                <w:rFonts w:ascii="Times New Roman" w:hAnsi="Times New Roman"/>
                <w:b/>
                <w:lang w:val="it-IT"/>
              </w:rPr>
              <w:t>ă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a </w:t>
            </w:r>
            <w:r w:rsidR="00A22407" w:rsidRPr="002349F9">
              <w:rPr>
                <w:rFonts w:ascii="Times New Roman" w:hAnsi="Times New Roman"/>
                <w:b/>
                <w:lang w:val="it-IT"/>
              </w:rPr>
              <w:t>POR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2014-2020</w:t>
            </w:r>
            <w:r w:rsidR="001C6044" w:rsidRPr="002349F9">
              <w:rPr>
                <w:rFonts w:ascii="Times New Roman" w:hAnsi="Times New Roman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2349F9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Nota: Valoarea estimata totala a proiectului, fara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349F9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Documentații tehnico</w:t>
            </w:r>
            <w:r w:rsidR="00A22577" w:rsidRPr="008F532A">
              <w:rPr>
                <w:iCs/>
                <w:sz w:val="22"/>
                <w:szCs w:val="22"/>
              </w:rPr>
              <w:t xml:space="preserve"> </w:t>
            </w:r>
            <w:r w:rsidRPr="008F532A">
              <w:rPr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085C3159" w14:textId="1FFB0DC8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r w:rsidR="00862E3E" w:rsidRPr="004C7390">
              <w:rPr>
                <w:iCs/>
                <w:sz w:val="22"/>
                <w:szCs w:val="22"/>
              </w:rPr>
              <w:t xml:space="preserve">tehnico-economică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349F9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8F532A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50B82A69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7F0C65">
              <w:rPr>
                <w:bCs/>
                <w:sz w:val="22"/>
                <w:szCs w:val="22"/>
              </w:rPr>
              <w:t xml:space="preserve">Nota: Perioada de implementare poate fi cuprinsă între iunie </w:t>
            </w:r>
            <w:r w:rsidRPr="00A20408">
              <w:rPr>
                <w:bCs/>
                <w:sz w:val="22"/>
                <w:szCs w:val="22"/>
              </w:rPr>
              <w:t xml:space="preserve">2020 și </w:t>
            </w:r>
            <w:r w:rsidR="002349F9">
              <w:rPr>
                <w:bCs/>
                <w:sz w:val="22"/>
                <w:szCs w:val="22"/>
              </w:rPr>
              <w:t>15 decembrie</w:t>
            </w:r>
            <w:r w:rsidRPr="00A20408">
              <w:rPr>
                <w:bCs/>
                <w:sz w:val="22"/>
                <w:szCs w:val="22"/>
              </w:rPr>
              <w:t xml:space="preserve"> 202</w:t>
            </w:r>
            <w:r w:rsidR="00E52C67" w:rsidRPr="00A20408">
              <w:rPr>
                <w:bCs/>
                <w:sz w:val="22"/>
                <w:szCs w:val="22"/>
              </w:rPr>
              <w:t>3</w:t>
            </w:r>
            <w:r w:rsidRPr="00A20408">
              <w:rPr>
                <w:bCs/>
                <w:sz w:val="22"/>
                <w:szCs w:val="22"/>
              </w:rPr>
              <w:t xml:space="preserve"> (include</w:t>
            </w:r>
            <w:r w:rsidRPr="007F0C65">
              <w:rPr>
                <w:bCs/>
                <w:sz w:val="22"/>
                <w:szCs w:val="22"/>
              </w:rPr>
              <w:t xml:space="preserve"> și perioada necesară efectuării plăților către contractor).</w:t>
            </w:r>
            <w:r w:rsidRPr="004C7390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349F9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4C7390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651A48C3" w14:textId="27DC4E4C" w:rsidR="00153D0C" w:rsidRPr="002349F9" w:rsidRDefault="00153D0C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2349F9">
        <w:rPr>
          <w:rFonts w:ascii="Times New Roman" w:hAnsi="Times New Roman"/>
          <w:lang w:val="it-IT"/>
        </w:rPr>
        <w:t>Pentru criteriile suplimentare stabilite la nivelul regiunii, ADR va completa fișa cu secțiuni pe care beneficiarul le va complet</w:t>
      </w:r>
      <w:r w:rsidR="008F532A" w:rsidRPr="002349F9">
        <w:rPr>
          <w:rFonts w:ascii="Times New Roman" w:hAnsi="Times New Roman"/>
          <w:lang w:val="it-IT"/>
        </w:rPr>
        <w:t>a</w:t>
      </w:r>
      <w:r w:rsidRPr="002349F9">
        <w:rPr>
          <w:rFonts w:ascii="Times New Roman" w:hAnsi="Times New Roman"/>
          <w:lang w:val="it-IT"/>
        </w:rPr>
        <w:t xml:space="preserve"> astfel încât ADR să poată efectua prioritizarea și selecția fișelor.</w:t>
      </w:r>
    </w:p>
    <w:p w14:paraId="45CCAD07" w14:textId="77777777" w:rsidR="00153D0C" w:rsidRPr="002349F9" w:rsidRDefault="00153D0C" w:rsidP="009F3E61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64553431" w14:textId="7D19E2AF" w:rsidR="00B552BF" w:rsidRPr="002349F9" w:rsidRDefault="003377F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2349F9">
        <w:rPr>
          <w:rFonts w:ascii="Times New Roman" w:hAnsi="Times New Roman"/>
          <w:lang w:val="it-IT"/>
        </w:rPr>
        <w:t xml:space="preserve">O regiune de dezvoltare poate obține sprijin financiar pentru elaborarea de documentații pentru cel mult un numărul de proiecte de infrastructură publică de turism, inclusiv obiective de patrimoniu cu potențial </w:t>
      </w:r>
      <w:r w:rsidR="00717A9C" w:rsidRPr="002349F9">
        <w:rPr>
          <w:rFonts w:ascii="Times New Roman" w:hAnsi="Times New Roman"/>
          <w:lang w:val="it-IT"/>
        </w:rPr>
        <w:t>touristic,</w:t>
      </w:r>
      <w:r w:rsidRPr="002349F9">
        <w:rPr>
          <w:rFonts w:ascii="Times New Roman" w:hAnsi="Times New Roman"/>
          <w:lang w:val="it-IT"/>
        </w:rPr>
        <w:t xml:space="preserve"> egal cu numărul de județe componente ale regiunii.</w:t>
      </w:r>
    </w:p>
    <w:p w14:paraId="3AC9C1C0" w14:textId="77777777" w:rsidR="00CF1856" w:rsidRPr="002349F9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0E14EDAF" w14:textId="6B786BB0" w:rsidR="001E03D2" w:rsidRPr="009F3E61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2349F9">
        <w:rPr>
          <w:rFonts w:ascii="Times New Roman" w:hAnsi="Times New Roman"/>
          <w:lang w:val="it-IT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</w:t>
      </w:r>
      <w:r w:rsidR="00B35108" w:rsidRPr="002349F9">
        <w:rPr>
          <w:rFonts w:ascii="Times New Roman" w:hAnsi="Times New Roman"/>
          <w:lang w:val="it-IT"/>
        </w:rPr>
        <w:t>.</w:t>
      </w:r>
      <w:r w:rsidR="00B35108" w:rsidRPr="002349F9">
        <w:rPr>
          <w:rFonts w:ascii="Times New Roman" w:hAnsi="Times New Roman"/>
          <w:i/>
          <w:lang w:val="it-IT"/>
        </w:rPr>
        <w:t xml:space="preserve"> </w:t>
      </w:r>
      <w:r w:rsidR="00B35108" w:rsidRPr="009F3E61">
        <w:rPr>
          <w:rFonts w:ascii="Times New Roman" w:hAnsi="Times New Roman"/>
          <w:i/>
        </w:rPr>
        <w:t>(declara</w:t>
      </w:r>
      <w:r w:rsidR="00056292">
        <w:rPr>
          <w:rFonts w:ascii="Times New Roman" w:hAnsi="Times New Roman"/>
          <w:i/>
        </w:rPr>
        <w:t>ț</w:t>
      </w:r>
      <w:r w:rsidR="00B35108" w:rsidRPr="009F3E61">
        <w:rPr>
          <w:rFonts w:ascii="Times New Roman" w:hAnsi="Times New Roman"/>
          <w:i/>
        </w:rPr>
        <w:t>ie pe propria r</w:t>
      </w:r>
      <w:r w:rsidR="00056292">
        <w:rPr>
          <w:rFonts w:ascii="Times New Roman" w:hAnsi="Times New Roman"/>
          <w:i/>
        </w:rPr>
        <w:t>ă</w:t>
      </w:r>
      <w:r w:rsidR="00B35108" w:rsidRPr="009F3E61">
        <w:rPr>
          <w:rFonts w:ascii="Times New Roman" w:hAnsi="Times New Roman"/>
          <w:i/>
        </w:rPr>
        <w:t>spundere)</w:t>
      </w:r>
      <w:r w:rsidRPr="009F3E61">
        <w:rPr>
          <w:rFonts w:ascii="Times New Roman" w:hAnsi="Times New Roman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8E92" w14:textId="77777777" w:rsidR="00937A78" w:rsidRDefault="00937A78">
      <w:r>
        <w:separator/>
      </w:r>
    </w:p>
  </w:endnote>
  <w:endnote w:type="continuationSeparator" w:id="0">
    <w:p w14:paraId="1666B347" w14:textId="77777777" w:rsidR="00937A78" w:rsidRDefault="0093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2FCE" w14:textId="77777777" w:rsidR="00937A78" w:rsidRDefault="00937A78">
      <w:r>
        <w:separator/>
      </w:r>
    </w:p>
  </w:footnote>
  <w:footnote w:type="continuationSeparator" w:id="0">
    <w:p w14:paraId="2669075A" w14:textId="77777777" w:rsidR="00937A78" w:rsidRDefault="00937A78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  <w:r>
        <w:rPr>
          <w:rStyle w:val="FootnoteReference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7B891F49" w14:textId="6546485E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 xml:space="preserve">ANEXA NR. </w:t>
    </w:r>
    <w:r w:rsidR="002349F9">
      <w:rPr>
        <w:b/>
        <w:bCs/>
        <w:caps/>
        <w:sz w:val="20"/>
        <w:szCs w:val="20"/>
      </w:rPr>
      <w:t>6</w:t>
    </w:r>
  </w:p>
  <w:p w14:paraId="56822EED" w14:textId="7E650A6D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6</w:t>
    </w:r>
    <w:r w:rsidRPr="001F47EC">
      <w:rPr>
        <w:b/>
        <w:bCs/>
        <w:caps/>
        <w:sz w:val="20"/>
        <w:szCs w:val="20"/>
      </w:rPr>
      <w:t xml:space="preserve"> LA ORDINUL MINISTRULUI </w:t>
    </w:r>
  </w:p>
  <w:p w14:paraId="5B4F1A3B" w14:textId="77777777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738120">
    <w:abstractNumId w:val="26"/>
  </w:num>
  <w:num w:numId="2" w16cid:durableId="1075199820">
    <w:abstractNumId w:val="24"/>
  </w:num>
  <w:num w:numId="3" w16cid:durableId="179855611">
    <w:abstractNumId w:val="20"/>
  </w:num>
  <w:num w:numId="4" w16cid:durableId="1197231662">
    <w:abstractNumId w:val="23"/>
  </w:num>
  <w:num w:numId="5" w16cid:durableId="930235602">
    <w:abstractNumId w:val="17"/>
  </w:num>
  <w:num w:numId="6" w16cid:durableId="697970249">
    <w:abstractNumId w:val="13"/>
  </w:num>
  <w:num w:numId="7" w16cid:durableId="596868088">
    <w:abstractNumId w:val="27"/>
  </w:num>
  <w:num w:numId="8" w16cid:durableId="2065105626">
    <w:abstractNumId w:val="31"/>
  </w:num>
  <w:num w:numId="9" w16cid:durableId="289635375">
    <w:abstractNumId w:val="19"/>
  </w:num>
  <w:num w:numId="10" w16cid:durableId="1213081790">
    <w:abstractNumId w:val="16"/>
  </w:num>
  <w:num w:numId="11" w16cid:durableId="1496342921">
    <w:abstractNumId w:val="25"/>
  </w:num>
  <w:num w:numId="12" w16cid:durableId="1371883426">
    <w:abstractNumId w:val="18"/>
  </w:num>
  <w:num w:numId="13" w16cid:durableId="647830109">
    <w:abstractNumId w:val="12"/>
  </w:num>
  <w:num w:numId="14" w16cid:durableId="136606339">
    <w:abstractNumId w:val="29"/>
  </w:num>
  <w:num w:numId="15" w16cid:durableId="951472096">
    <w:abstractNumId w:val="15"/>
  </w:num>
  <w:num w:numId="16" w16cid:durableId="1079710830">
    <w:abstractNumId w:val="28"/>
  </w:num>
  <w:num w:numId="17" w16cid:durableId="441726257">
    <w:abstractNumId w:val="6"/>
  </w:num>
  <w:num w:numId="18" w16cid:durableId="985162079">
    <w:abstractNumId w:val="30"/>
  </w:num>
  <w:num w:numId="19" w16cid:durableId="275065261">
    <w:abstractNumId w:val="10"/>
  </w:num>
  <w:num w:numId="20" w16cid:durableId="2136295099">
    <w:abstractNumId w:val="4"/>
  </w:num>
  <w:num w:numId="21" w16cid:durableId="2069453524">
    <w:abstractNumId w:val="7"/>
  </w:num>
  <w:num w:numId="22" w16cid:durableId="273095016">
    <w:abstractNumId w:val="32"/>
  </w:num>
  <w:num w:numId="23" w16cid:durableId="2134712311">
    <w:abstractNumId w:val="22"/>
  </w:num>
  <w:num w:numId="24" w16cid:durableId="1903713039">
    <w:abstractNumId w:val="1"/>
  </w:num>
  <w:num w:numId="25" w16cid:durableId="1712531863">
    <w:abstractNumId w:val="8"/>
  </w:num>
  <w:num w:numId="26" w16cid:durableId="946890691">
    <w:abstractNumId w:val="2"/>
  </w:num>
  <w:num w:numId="27" w16cid:durableId="1536624134">
    <w:abstractNumId w:val="3"/>
  </w:num>
  <w:num w:numId="28" w16cid:durableId="1337270873">
    <w:abstractNumId w:val="11"/>
  </w:num>
  <w:num w:numId="29" w16cid:durableId="1764522219">
    <w:abstractNumId w:val="9"/>
  </w:num>
  <w:num w:numId="30" w16cid:durableId="1051341639">
    <w:abstractNumId w:val="14"/>
  </w:num>
  <w:num w:numId="31" w16cid:durableId="327102097">
    <w:abstractNumId w:val="15"/>
  </w:num>
  <w:num w:numId="32" w16cid:durableId="162011098">
    <w:abstractNumId w:val="5"/>
  </w:num>
  <w:num w:numId="33" w16cid:durableId="332803267">
    <w:abstractNumId w:val="21"/>
  </w:num>
  <w:num w:numId="34" w16cid:durableId="565385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47EC"/>
    <w:rsid w:val="001F7F78"/>
    <w:rsid w:val="0020504D"/>
    <w:rsid w:val="002145F9"/>
    <w:rsid w:val="00227357"/>
    <w:rsid w:val="002335C1"/>
    <w:rsid w:val="002349F9"/>
    <w:rsid w:val="00236941"/>
    <w:rsid w:val="002465EC"/>
    <w:rsid w:val="00251ACD"/>
    <w:rsid w:val="00253411"/>
    <w:rsid w:val="00260E50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257C4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5FAA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3779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45ACF"/>
    <w:rsid w:val="00650476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0C65"/>
    <w:rsid w:val="007F13BE"/>
    <w:rsid w:val="0080181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375FE"/>
    <w:rsid w:val="00937A78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0408"/>
    <w:rsid w:val="00A22407"/>
    <w:rsid w:val="00A22577"/>
    <w:rsid w:val="00A2645E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D4EE0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12BE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45C5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D7B80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52C67"/>
    <w:rsid w:val="00E6404D"/>
    <w:rsid w:val="00E670F6"/>
    <w:rsid w:val="00E67E4E"/>
    <w:rsid w:val="00E72520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53EF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4A73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5A7AE-9142-4AC0-A871-BE45B383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5019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2023-05-11T06:43:00Z</dcterms:created>
  <dcterms:modified xsi:type="dcterms:W3CDTF">2023-05-11T06:43:00Z</dcterms:modified>
</cp:coreProperties>
</file>