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4C7390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4C7390">
        <w:rPr>
          <w:b/>
          <w:bCs/>
          <w:caps/>
          <w:sz w:val="22"/>
          <w:szCs w:val="22"/>
        </w:rPr>
        <w:t>FIŞA DE PROIECT</w:t>
      </w:r>
      <w:r w:rsidR="00B671EF" w:rsidRPr="004C7390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4C7390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4C7390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4C7390" w:rsidRDefault="00DC2C36" w:rsidP="00B552B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Domeniul investiției: </w:t>
            </w:r>
            <w:r w:rsidR="00D20BF6" w:rsidRPr="004C7390">
              <w:rPr>
                <w:b/>
                <w:sz w:val="22"/>
                <w:szCs w:val="22"/>
              </w:rPr>
              <w:t>Infrastructura și servicii publice de turism, inclusiv</w:t>
            </w:r>
            <w:r w:rsidR="008773B9" w:rsidRPr="004C7390">
              <w:rPr>
                <w:b/>
                <w:sz w:val="22"/>
                <w:szCs w:val="22"/>
              </w:rPr>
              <w:t xml:space="preserve"> </w:t>
            </w:r>
            <w:r w:rsidR="004A1319" w:rsidRPr="004C7390">
              <w:rPr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4C7390" w:rsidRDefault="00DC2C36" w:rsidP="00D20BF6">
            <w:pPr>
              <w:rPr>
                <w:b/>
                <w:sz w:val="22"/>
                <w:szCs w:val="22"/>
              </w:rPr>
            </w:pPr>
          </w:p>
        </w:tc>
      </w:tr>
      <w:tr w:rsidR="004C7390" w:rsidRPr="004C7390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349F9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4C7390" w:rsidRDefault="00951D5B" w:rsidP="00951D5B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4C7390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4C739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4C7390" w:rsidRPr="004C7390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4C739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4C7390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0277C2F5" w:rsidR="00FE3AB5" w:rsidRPr="004C7390" w:rsidRDefault="00B671EF" w:rsidP="000E67F0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</w:rPr>
              <w:t xml:space="preserve">Notă: </w:t>
            </w:r>
            <w:r w:rsidR="006661C5" w:rsidRPr="004C7390">
              <w:rPr>
                <w:i/>
                <w:iCs/>
                <w:sz w:val="22"/>
                <w:szCs w:val="22"/>
              </w:rPr>
              <w:t>Solicitan</w:t>
            </w:r>
            <w:r w:rsidR="00056292">
              <w:rPr>
                <w:i/>
                <w:iCs/>
                <w:sz w:val="22"/>
                <w:szCs w:val="22"/>
              </w:rPr>
              <w:t>ț</w:t>
            </w:r>
            <w:r w:rsidR="006661C5" w:rsidRPr="004C7390">
              <w:rPr>
                <w:i/>
                <w:iCs/>
                <w:sz w:val="22"/>
                <w:szCs w:val="22"/>
              </w:rPr>
              <w:t xml:space="preserve">ii de finanţare </w:t>
            </w:r>
            <w:r w:rsidR="004C7390">
              <w:rPr>
                <w:i/>
                <w:iCs/>
                <w:sz w:val="22"/>
                <w:szCs w:val="22"/>
              </w:rPr>
              <w:t xml:space="preserve">sunt </w:t>
            </w:r>
            <w:r w:rsidR="00E219E2" w:rsidRPr="004C7390">
              <w:rPr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4C7390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349F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4C7390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Titlul Proiectului </w:t>
            </w:r>
            <w:r w:rsidR="00DC2C36" w:rsidRPr="004C7390">
              <w:rPr>
                <w:b/>
                <w:sz w:val="22"/>
                <w:szCs w:val="22"/>
              </w:rPr>
              <w:t>de investiție</w:t>
            </w:r>
          </w:p>
        </w:tc>
      </w:tr>
      <w:tr w:rsidR="004C7390" w:rsidRPr="004C7390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776AC704" w:rsidR="00535CC3" w:rsidRPr="004C7390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</w:t>
            </w:r>
          </w:p>
        </w:tc>
      </w:tr>
      <w:tr w:rsidR="004C7390" w:rsidRPr="004C7390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4C7390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Persoana de contact:</w:t>
            </w:r>
          </w:p>
        </w:tc>
      </w:tr>
      <w:tr w:rsidR="004C7390" w:rsidRPr="004C7390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4C7390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Nume: 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Telefon: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4C7390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E-mail:</w:t>
            </w:r>
            <w:r w:rsidR="00B32F56" w:rsidRPr="004C7390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4C7390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4C7390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4C7390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Obiectivele proiectului</w:t>
            </w:r>
            <w:r w:rsidR="00DC2C36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4C7390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4C7390" w:rsidRDefault="002C124C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4C7390" w:rsidRDefault="004A7A4B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Obiectiv</w:t>
            </w:r>
            <w:r w:rsidR="00F35470" w:rsidRPr="004C7390">
              <w:rPr>
                <w:b/>
                <w:sz w:val="22"/>
                <w:szCs w:val="22"/>
              </w:rPr>
              <w:t>ul</w:t>
            </w:r>
            <w:r w:rsidRPr="004C7390">
              <w:rPr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4C7390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................................</w:t>
            </w:r>
          </w:p>
          <w:p w14:paraId="0003280B" w14:textId="1F11CAEB" w:rsidR="00062C4F" w:rsidRPr="004C7390" w:rsidRDefault="00D20BF6" w:rsidP="00062C4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>Nota</w:t>
            </w:r>
            <w:r w:rsidRPr="002349F9">
              <w:rPr>
                <w:bCs/>
                <w:i/>
                <w:iCs/>
                <w:sz w:val="22"/>
                <w:szCs w:val="22"/>
                <w:lang w:val="it-IT"/>
              </w:rPr>
              <w:t>: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ii trebuie s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056292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4C7390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056292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4C7390">
              <w:rPr>
                <w:bCs/>
                <w:i/>
                <w:iCs/>
                <w:sz w:val="22"/>
                <w:szCs w:val="22"/>
              </w:rPr>
              <w:t xml:space="preserve"> de cetatenii sai”</w:t>
            </w:r>
          </w:p>
          <w:p w14:paraId="5EDF950D" w14:textId="0CB7FE90" w:rsidR="00D81364" w:rsidRPr="004C7390" w:rsidRDefault="00062C4F" w:rsidP="0016665A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4C7390">
              <w:rPr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4C7390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4C7390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Rezultate aşteptate</w:t>
            </w:r>
            <w:r w:rsidR="00DC2C36" w:rsidRPr="004C739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4C7390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2349F9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  <w:p w14:paraId="675478EC" w14:textId="08A26C8C" w:rsidR="005C4D70" w:rsidRPr="002349F9" w:rsidRDefault="005C4D7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Obs. Se vor avea </w:t>
            </w:r>
            <w:r w:rsidR="00056292" w:rsidRPr="002349F9">
              <w:rPr>
                <w:rFonts w:ascii="Times New Roman" w:hAnsi="Times New Roman"/>
                <w:i/>
                <w:iCs/>
                <w:lang w:val="it-IT"/>
              </w:rPr>
              <w:t>î</w:t>
            </w:r>
            <w:r w:rsidRPr="002349F9">
              <w:rPr>
                <w:rFonts w:ascii="Times New Roman" w:hAnsi="Times New Roman"/>
                <w:i/>
                <w:iCs/>
                <w:lang w:val="it-IT"/>
              </w:rPr>
              <w:t>n vedere tipurile de Indicatori de rezultat din propunerea de Regulament privind fondurile europene destinate politicii de coeziune 2021-2027:</w:t>
            </w:r>
          </w:p>
          <w:p w14:paraId="74404F59" w14:textId="09AD8EB1" w:rsidR="00B671EF" w:rsidRPr="002349F9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</w:p>
        </w:tc>
      </w:tr>
      <w:tr w:rsidR="004C7390" w:rsidRPr="004C7390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349F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4C7390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4C7390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4C7390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7847B76D" w:rsidR="00D20BF6" w:rsidRPr="002349F9" w:rsidRDefault="00D20BF6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>Obs. Se vor avea in vedere tipurile de Indicatori de realizare din propunerea de Regulament privind fondurile europene destinate politicii de coeziune 2021-2027:</w:t>
            </w:r>
          </w:p>
          <w:p w14:paraId="62FB5E52" w14:textId="352C5DA3" w:rsidR="00290520" w:rsidRPr="002349F9" w:rsidRDefault="00290520" w:rsidP="00290520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lang w:val="it-IT"/>
              </w:rPr>
            </w:pPr>
            <w:r w:rsidRPr="002349F9">
              <w:rPr>
                <w:rFonts w:ascii="Times New Roman" w:hAnsi="Times New Roman"/>
                <w:i/>
                <w:iCs/>
                <w:lang w:val="it-IT"/>
              </w:rPr>
              <w:t xml:space="preserve"> </w:t>
            </w:r>
          </w:p>
        </w:tc>
      </w:tr>
      <w:tr w:rsidR="004C7390" w:rsidRPr="004C7390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349F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4C7390" w:rsidRDefault="00253411" w:rsidP="00DC2C36">
            <w:pPr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Justificare</w:t>
            </w:r>
            <w:r w:rsidR="00DC2C36" w:rsidRPr="004C7390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4C7390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4C7390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349F9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Strategia/Strategiile/Alte studii în care se încadrează proiectul </w:t>
            </w:r>
          </w:p>
          <w:p w14:paraId="6CE50FA9" w14:textId="143A98A6" w:rsidR="001C6044" w:rsidRPr="004C7390" w:rsidRDefault="0020504D" w:rsidP="00C57340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 xml:space="preserve">Notă: </w:t>
            </w:r>
            <w:r w:rsidR="00C57340" w:rsidRPr="004C7390">
              <w:rPr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</w:tc>
      </w:tr>
      <w:tr w:rsidR="004C7390" w:rsidRPr="004C7390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349F9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2349F9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 xml:space="preserve">Intervențiile </w:t>
            </w:r>
            <w:r w:rsidR="00576609" w:rsidRPr="002349F9">
              <w:rPr>
                <w:rFonts w:ascii="Times New Roman" w:hAnsi="Times New Roman"/>
                <w:b/>
                <w:lang w:val="it-IT"/>
              </w:rPr>
              <w:t xml:space="preserve">proiectului de investiție </w:t>
            </w:r>
            <w:r w:rsidRPr="002349F9">
              <w:rPr>
                <w:rFonts w:ascii="Times New Roman" w:hAnsi="Times New Roman"/>
                <w:b/>
                <w:lang w:val="it-IT"/>
              </w:rPr>
              <w:t>au în vedere:</w:t>
            </w:r>
          </w:p>
          <w:p w14:paraId="7174E39A" w14:textId="77777777" w:rsidR="008837C2" w:rsidRPr="004C7390" w:rsidRDefault="008837C2" w:rsidP="008837C2">
            <w:pPr>
              <w:jc w:val="both"/>
              <w:rPr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 …………….</w:t>
            </w:r>
          </w:p>
          <w:p w14:paraId="46A892F7" w14:textId="10E06104" w:rsidR="008837C2" w:rsidRPr="004C7390" w:rsidRDefault="008837C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4C7390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4C7390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0AF68EF4" w14:textId="77777777" w:rsidR="00091DA2" w:rsidRPr="004C7390" w:rsidRDefault="00091DA2" w:rsidP="008837C2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</w:p>
          <w:p w14:paraId="1B977955" w14:textId="7FEF726B" w:rsidR="0020504D" w:rsidRPr="004C7390" w:rsidRDefault="0020504D" w:rsidP="00227357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4C7390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2349F9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Proiectul se afl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pe lista de rezerv</w:t>
            </w:r>
            <w:r w:rsidR="00720DF0" w:rsidRPr="002349F9">
              <w:rPr>
                <w:rFonts w:ascii="Times New Roman" w:hAnsi="Times New Roman"/>
                <w:b/>
                <w:lang w:val="it-IT"/>
              </w:rPr>
              <w:t>ă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a </w:t>
            </w:r>
            <w:r w:rsidR="00A22407" w:rsidRPr="002349F9">
              <w:rPr>
                <w:rFonts w:ascii="Times New Roman" w:hAnsi="Times New Roman"/>
                <w:b/>
                <w:lang w:val="it-IT"/>
              </w:rPr>
              <w:t>POR</w:t>
            </w:r>
            <w:r w:rsidRPr="002349F9">
              <w:rPr>
                <w:rFonts w:ascii="Times New Roman" w:hAnsi="Times New Roman"/>
                <w:b/>
                <w:lang w:val="it-IT"/>
              </w:rPr>
              <w:t xml:space="preserve"> 2014-2020</w:t>
            </w:r>
            <w:r w:rsidR="001C6044" w:rsidRPr="002349F9">
              <w:rPr>
                <w:rFonts w:ascii="Times New Roman" w:hAnsi="Times New Roman"/>
                <w:b/>
                <w:lang w:val="it-IT"/>
              </w:rPr>
              <w:t xml:space="preserve"> și are elaborate următoarele documente: </w:t>
            </w:r>
          </w:p>
          <w:p w14:paraId="44DB1471" w14:textId="77777777" w:rsidR="001C6044" w:rsidRPr="002349F9" w:rsidRDefault="001C6044" w:rsidP="001C6044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lang w:val="it-IT"/>
              </w:rPr>
            </w:pPr>
            <w:r w:rsidRPr="002349F9">
              <w:rPr>
                <w:rFonts w:ascii="Times New Roman" w:hAnsi="Times New Roman"/>
                <w:b/>
                <w:lang w:val="it-IT"/>
              </w:rPr>
              <w:t>…….</w:t>
            </w:r>
          </w:p>
          <w:p w14:paraId="15FAED1B" w14:textId="7B7B50E3" w:rsidR="0048656B" w:rsidRPr="004C7390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sau</w:t>
            </w:r>
          </w:p>
          <w:p w14:paraId="5666EF96" w14:textId="4D2437F1" w:rsidR="0048656B" w:rsidRPr="004C7390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 xml:space="preserve">         </w:t>
            </w:r>
            <w:r w:rsidR="0048656B" w:rsidRPr="004C7390">
              <w:rPr>
                <w:b/>
                <w:sz w:val="22"/>
                <w:szCs w:val="22"/>
              </w:rPr>
              <w:t xml:space="preserve">Proiectul </w:t>
            </w:r>
            <w:r w:rsidR="00A22407" w:rsidRPr="004C7390">
              <w:rPr>
                <w:b/>
                <w:sz w:val="22"/>
                <w:szCs w:val="22"/>
              </w:rPr>
              <w:t>nu se afl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pe lista de rezerv</w:t>
            </w:r>
            <w:r w:rsidR="00720DF0">
              <w:rPr>
                <w:b/>
                <w:sz w:val="22"/>
                <w:szCs w:val="22"/>
              </w:rPr>
              <w:t>ă</w:t>
            </w:r>
            <w:r w:rsidR="00A22407" w:rsidRPr="004C7390">
              <w:rPr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120E75CC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sz w:val="22"/>
                <w:szCs w:val="22"/>
              </w:rPr>
              <w:t>Notă:</w:t>
            </w:r>
            <w:r w:rsidR="00ED541C" w:rsidRPr="004C7390">
              <w:rPr>
                <w:sz w:val="22"/>
                <w:szCs w:val="22"/>
              </w:rPr>
              <w:t xml:space="preserve"> </w:t>
            </w:r>
            <w:r w:rsidRPr="004C7390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4C7390">
              <w:rPr>
                <w:sz w:val="22"/>
                <w:szCs w:val="22"/>
              </w:rPr>
              <w:t>ă</w:t>
            </w:r>
            <w:r w:rsidRPr="004C7390">
              <w:rPr>
                <w:sz w:val="22"/>
                <w:szCs w:val="22"/>
              </w:rPr>
              <w:t>rii proiectelor.</w:t>
            </w:r>
          </w:p>
        </w:tc>
      </w:tr>
      <w:tr w:rsidR="004C7390" w:rsidRPr="004C7390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4C7390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4C7390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4C7390">
              <w:rPr>
                <w:b/>
                <w:bCs/>
                <w:sz w:val="22"/>
                <w:szCs w:val="22"/>
              </w:rPr>
              <w:t xml:space="preserve">al investiției </w:t>
            </w:r>
            <w:r w:rsidRPr="004C739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F13ABB9" w14:textId="1F176C54" w:rsidR="00DC2C36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 euro, din care ....... euro f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>r</w:t>
            </w:r>
            <w:r w:rsidR="0042748B" w:rsidRPr="004C7390">
              <w:rPr>
                <w:bCs/>
                <w:sz w:val="22"/>
                <w:szCs w:val="22"/>
              </w:rPr>
              <w:t>ă</w:t>
            </w:r>
            <w:r w:rsidRPr="004C7390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4C7390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2E17FCDC" w:rsidR="00C46510" w:rsidRPr="004C7390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Nota: Valoarea estimata totala a proiectului, fara TVA trebuie sa fie cuprinsa intre :</w:t>
            </w:r>
          </w:p>
          <w:p w14:paraId="514B4F74" w14:textId="7660B248" w:rsidR="00C46510" w:rsidRPr="004C7390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 xml:space="preserve">- </w:t>
            </w:r>
            <w:r w:rsidR="001C3978" w:rsidRPr="004C7390">
              <w:rPr>
                <w:bCs/>
                <w:sz w:val="22"/>
                <w:szCs w:val="22"/>
              </w:rPr>
              <w:t xml:space="preserve">minimum </w:t>
            </w:r>
            <w:r w:rsidRPr="004C7390">
              <w:rPr>
                <w:bCs/>
                <w:sz w:val="22"/>
                <w:szCs w:val="22"/>
              </w:rPr>
              <w:t>3.000.000 euro și maxim</w:t>
            </w:r>
            <w:r w:rsidR="001C3978" w:rsidRPr="004C7390">
              <w:rPr>
                <w:bCs/>
                <w:sz w:val="22"/>
                <w:szCs w:val="22"/>
              </w:rPr>
              <w:t>um</w:t>
            </w:r>
            <w:r w:rsidRPr="004C7390">
              <w:rPr>
                <w:bCs/>
                <w:sz w:val="22"/>
                <w:szCs w:val="22"/>
              </w:rPr>
              <w:t xml:space="preserve"> 15.000.000 euro.</w:t>
            </w:r>
          </w:p>
          <w:p w14:paraId="76A4704F" w14:textId="77777777" w:rsidR="001C3978" w:rsidRPr="004C7390" w:rsidRDefault="001C3978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4C7390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4C7390" w:rsidRPr="004C7390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349F9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Documentații tehnico</w:t>
            </w:r>
            <w:r w:rsidR="00A22577" w:rsidRPr="008F532A">
              <w:rPr>
                <w:iCs/>
                <w:sz w:val="22"/>
                <w:szCs w:val="22"/>
              </w:rPr>
              <w:t xml:space="preserve"> </w:t>
            </w:r>
            <w:r w:rsidRPr="008F532A">
              <w:rPr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085C3159" w14:textId="1FFB0DC8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F532A" w:rsidRDefault="00576609" w:rsidP="0048656B">
            <w:pPr>
              <w:jc w:val="both"/>
              <w:rPr>
                <w:iCs/>
                <w:sz w:val="22"/>
                <w:szCs w:val="22"/>
              </w:rPr>
            </w:pPr>
          </w:p>
          <w:p w14:paraId="6431B40F" w14:textId="77777777" w:rsidR="00576609" w:rsidRPr="008F532A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</w:pPr>
            <w:r w:rsidRPr="008F532A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4C7390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4C7390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6ABE9A90" w14:textId="51D4F6D0" w:rsidR="00DA7128" w:rsidRDefault="00576609" w:rsidP="00862E3E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iCs/>
                <w:sz w:val="22"/>
                <w:szCs w:val="22"/>
              </w:rPr>
              <w:t>Atenție: Documenta</w:t>
            </w:r>
            <w:r w:rsidR="00A22577" w:rsidRPr="004C7390">
              <w:rPr>
                <w:iCs/>
                <w:sz w:val="22"/>
                <w:szCs w:val="22"/>
              </w:rPr>
              <w:t>ț</w:t>
            </w:r>
            <w:r w:rsidRPr="004C7390">
              <w:rPr>
                <w:iCs/>
                <w:sz w:val="22"/>
                <w:szCs w:val="22"/>
              </w:rPr>
              <w:t xml:space="preserve">ia </w:t>
            </w:r>
            <w:r w:rsidR="00862E3E" w:rsidRPr="004C7390">
              <w:rPr>
                <w:iCs/>
                <w:sz w:val="22"/>
                <w:szCs w:val="22"/>
              </w:rPr>
              <w:t xml:space="preserve">tehnico-economică </w:t>
            </w:r>
            <w:r w:rsidR="00862E3E" w:rsidRPr="008F532A">
              <w:rPr>
                <w:iCs/>
                <w:sz w:val="22"/>
                <w:szCs w:val="22"/>
              </w:rPr>
              <w:t xml:space="preserve">va fi </w:t>
            </w:r>
            <w:r w:rsidRPr="004C7390">
              <w:rPr>
                <w:iCs/>
                <w:sz w:val="22"/>
                <w:szCs w:val="22"/>
              </w:rPr>
              <w:t>elaborat</w:t>
            </w:r>
            <w:r w:rsidR="00A22577" w:rsidRPr="004C7390">
              <w:rPr>
                <w:iCs/>
                <w:sz w:val="22"/>
                <w:szCs w:val="22"/>
              </w:rPr>
              <w:t>ă</w:t>
            </w:r>
            <w:r w:rsidRPr="004C7390">
              <w:rPr>
                <w:iCs/>
                <w:sz w:val="22"/>
                <w:szCs w:val="22"/>
              </w:rPr>
              <w:t xml:space="preserve"> </w:t>
            </w:r>
            <w:r w:rsidR="00920933" w:rsidRPr="008F532A">
              <w:rPr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>
              <w:rPr>
                <w:iCs/>
                <w:sz w:val="22"/>
                <w:szCs w:val="22"/>
              </w:rPr>
              <w:t>,</w:t>
            </w:r>
            <w:r w:rsidR="00920933" w:rsidRPr="008F532A">
              <w:rPr>
                <w:iCs/>
                <w:sz w:val="22"/>
                <w:szCs w:val="22"/>
              </w:rPr>
              <w:t xml:space="preserve"> conform </w:t>
            </w:r>
            <w:r w:rsidRPr="004C7390">
              <w:rPr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8F532A" w:rsidRDefault="00DA7128" w:rsidP="00862E3E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C7390" w:rsidRPr="004C7390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6F52E549" w:rsidR="00783873" w:rsidRPr="008F532A" w:rsidRDefault="00DC2C36" w:rsidP="00783873">
            <w:pPr>
              <w:jc w:val="both"/>
              <w:rPr>
                <w:iCs/>
                <w:sz w:val="22"/>
                <w:szCs w:val="22"/>
              </w:rPr>
            </w:pPr>
            <w:r w:rsidRPr="004C7390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4C7390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4C7390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4C7390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8F532A">
              <w:rPr>
                <w:iCs/>
                <w:sz w:val="22"/>
                <w:szCs w:val="22"/>
              </w:rPr>
              <w:t>(valoare total</w:t>
            </w:r>
            <w:r w:rsidR="00A22577" w:rsidRPr="008F532A">
              <w:rPr>
                <w:iCs/>
                <w:sz w:val="22"/>
                <w:szCs w:val="22"/>
              </w:rPr>
              <w:t>ă</w:t>
            </w:r>
            <w:r w:rsidR="00951D5B" w:rsidRPr="008F532A">
              <w:rPr>
                <w:iCs/>
                <w:sz w:val="22"/>
                <w:szCs w:val="22"/>
              </w:rPr>
              <w:t xml:space="preserve">, inclusiv TVA, </w:t>
            </w:r>
            <w:r w:rsidR="00A22577" w:rsidRPr="008F532A">
              <w:rPr>
                <w:iCs/>
                <w:sz w:val="22"/>
                <w:szCs w:val="22"/>
              </w:rPr>
              <w:t>î</w:t>
            </w:r>
            <w:r w:rsidR="00951D5B" w:rsidRPr="008F532A">
              <w:rPr>
                <w:iCs/>
                <w:sz w:val="22"/>
                <w:szCs w:val="22"/>
              </w:rPr>
              <w:t xml:space="preserve">n </w:t>
            </w:r>
            <w:r w:rsidR="00961A9C" w:rsidRPr="008F532A">
              <w:rPr>
                <w:iCs/>
                <w:sz w:val="22"/>
                <w:szCs w:val="22"/>
              </w:rPr>
              <w:t>lei</w:t>
            </w:r>
            <w:r w:rsidR="00951D5B" w:rsidRPr="008F532A">
              <w:rPr>
                <w:iCs/>
                <w:sz w:val="22"/>
                <w:szCs w:val="22"/>
              </w:rPr>
              <w:t>)</w:t>
            </w:r>
          </w:p>
          <w:p w14:paraId="46ED6462" w14:textId="721F9942" w:rsidR="00783873" w:rsidRPr="008F532A" w:rsidRDefault="00783873" w:rsidP="0048656B">
            <w:pPr>
              <w:jc w:val="both"/>
              <w:rPr>
                <w:iCs/>
                <w:sz w:val="22"/>
                <w:szCs w:val="22"/>
              </w:rPr>
            </w:pPr>
            <w:r w:rsidRPr="008F532A">
              <w:rPr>
                <w:iCs/>
                <w:sz w:val="22"/>
                <w:szCs w:val="22"/>
              </w:rPr>
              <w:t>Notă: Se va atașa Nota de fundamentare a bugetului privind rezonabilitatea costurilor</w:t>
            </w:r>
          </w:p>
          <w:p w14:paraId="6F73CD6C" w14:textId="5A3323AC" w:rsidR="00951D5B" w:rsidRPr="004C7390" w:rsidRDefault="00951D5B" w:rsidP="0016665A">
            <w:pPr>
              <w:jc w:val="both"/>
            </w:pPr>
          </w:p>
        </w:tc>
      </w:tr>
      <w:tr w:rsidR="004C7390" w:rsidRPr="004C7390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4C7390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Perioada de implementare</w:t>
            </w:r>
            <w:r w:rsidR="00DC2C36" w:rsidRPr="004C7390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4C7390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4C7390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349F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4C7390" w:rsidRDefault="00DC2C36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4A807A9C" w14:textId="50B82A69" w:rsidR="0048656B" w:rsidRPr="004C7390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7F0C65">
              <w:rPr>
                <w:bCs/>
                <w:sz w:val="22"/>
                <w:szCs w:val="22"/>
              </w:rPr>
              <w:t xml:space="preserve">Nota: Perioada de implementare poate fi cuprinsă între iunie </w:t>
            </w:r>
            <w:r w:rsidRPr="00A20408">
              <w:rPr>
                <w:bCs/>
                <w:sz w:val="22"/>
                <w:szCs w:val="22"/>
              </w:rPr>
              <w:t xml:space="preserve">2020 și </w:t>
            </w:r>
            <w:r w:rsidR="002349F9">
              <w:rPr>
                <w:bCs/>
                <w:sz w:val="22"/>
                <w:szCs w:val="22"/>
              </w:rPr>
              <w:t>15 decembrie</w:t>
            </w:r>
            <w:r w:rsidRPr="00A20408">
              <w:rPr>
                <w:bCs/>
                <w:sz w:val="22"/>
                <w:szCs w:val="22"/>
              </w:rPr>
              <w:t xml:space="preserve"> 202</w:t>
            </w:r>
            <w:r w:rsidR="00E52C67" w:rsidRPr="00A20408">
              <w:rPr>
                <w:bCs/>
                <w:sz w:val="22"/>
                <w:szCs w:val="22"/>
              </w:rPr>
              <w:t>3</w:t>
            </w:r>
            <w:r w:rsidRPr="00A20408">
              <w:rPr>
                <w:bCs/>
                <w:sz w:val="22"/>
                <w:szCs w:val="22"/>
              </w:rPr>
              <w:t xml:space="preserve"> (include</w:t>
            </w:r>
            <w:r w:rsidRPr="007F0C65">
              <w:rPr>
                <w:bCs/>
                <w:sz w:val="22"/>
                <w:szCs w:val="22"/>
              </w:rPr>
              <w:t xml:space="preserve"> și perioada necesară efectuării plăților către contractor).</w:t>
            </w:r>
            <w:r w:rsidRPr="004C7390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C7390" w:rsidRPr="004C7390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349F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4C7390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4C7390">
              <w:rPr>
                <w:b/>
                <w:sz w:val="22"/>
                <w:szCs w:val="22"/>
              </w:rPr>
              <w:t>Axa prioritară/Obiectiv specific</w:t>
            </w:r>
            <w:r w:rsidR="00951D5B" w:rsidRPr="004C7390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4C7390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4C739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lastRenderedPageBreak/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4C7390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4C739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4C7390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Default="008D3097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  <w:r w:rsidRPr="004C7390">
        <w:rPr>
          <w:sz w:val="22"/>
          <w:szCs w:val="22"/>
        </w:rPr>
        <w:t>ATENTIE</w:t>
      </w:r>
      <w:r w:rsidRPr="004C7390">
        <w:rPr>
          <w:rFonts w:ascii="Trebuchet MS" w:hAnsi="Trebuchet MS"/>
          <w:sz w:val="22"/>
          <w:szCs w:val="22"/>
        </w:rPr>
        <w:t xml:space="preserve">: </w:t>
      </w:r>
    </w:p>
    <w:p w14:paraId="3C7B8192" w14:textId="77777777" w:rsidR="002B0E7E" w:rsidRPr="004C7390" w:rsidRDefault="002B0E7E" w:rsidP="001E03D2">
      <w:pPr>
        <w:tabs>
          <w:tab w:val="left" w:pos="965"/>
        </w:tabs>
        <w:rPr>
          <w:rFonts w:ascii="Trebuchet MS" w:hAnsi="Trebuchet MS"/>
          <w:sz w:val="22"/>
          <w:szCs w:val="22"/>
        </w:rPr>
      </w:pPr>
    </w:p>
    <w:p w14:paraId="651A48C3" w14:textId="27DC4E4C" w:rsidR="00153D0C" w:rsidRPr="002349F9" w:rsidRDefault="00153D0C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  <w:lang w:val="it-IT"/>
        </w:rPr>
      </w:pPr>
      <w:r w:rsidRPr="002349F9">
        <w:rPr>
          <w:rFonts w:ascii="Times New Roman" w:hAnsi="Times New Roman"/>
          <w:lang w:val="it-IT"/>
        </w:rPr>
        <w:t>Pentru criteriile suplimentare stabilite la nivelul regiunii, ADR va completa fișa cu secțiuni pe care beneficiarul le va complet</w:t>
      </w:r>
      <w:r w:rsidR="008F532A" w:rsidRPr="002349F9">
        <w:rPr>
          <w:rFonts w:ascii="Times New Roman" w:hAnsi="Times New Roman"/>
          <w:lang w:val="it-IT"/>
        </w:rPr>
        <w:t>a</w:t>
      </w:r>
      <w:r w:rsidRPr="002349F9">
        <w:rPr>
          <w:rFonts w:ascii="Times New Roman" w:hAnsi="Times New Roman"/>
          <w:lang w:val="it-IT"/>
        </w:rPr>
        <w:t xml:space="preserve"> astfel încât ADR să poată efectua prioritizarea și selecția fișelor.</w:t>
      </w:r>
    </w:p>
    <w:p w14:paraId="3AC9C1C0" w14:textId="77777777" w:rsidR="00CF1856" w:rsidRPr="002349F9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  <w:lang w:val="it-IT"/>
        </w:rPr>
      </w:pPr>
    </w:p>
    <w:p w14:paraId="0E14EDAF" w14:textId="6B786BB0" w:rsidR="001E03D2" w:rsidRPr="009F3E61" w:rsidRDefault="001E03D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2349F9">
        <w:rPr>
          <w:rFonts w:ascii="Times New Roman" w:hAnsi="Times New Roman"/>
          <w:lang w:val="it-IT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</w:t>
      </w:r>
      <w:r w:rsidR="00B35108" w:rsidRPr="002349F9">
        <w:rPr>
          <w:rFonts w:ascii="Times New Roman" w:hAnsi="Times New Roman"/>
          <w:lang w:val="it-IT"/>
        </w:rPr>
        <w:t>.</w:t>
      </w:r>
      <w:r w:rsidR="00B35108" w:rsidRPr="002349F9">
        <w:rPr>
          <w:rFonts w:ascii="Times New Roman" w:hAnsi="Times New Roman"/>
          <w:i/>
          <w:lang w:val="it-IT"/>
        </w:rPr>
        <w:t xml:space="preserve"> </w:t>
      </w:r>
      <w:r w:rsidR="00B35108" w:rsidRPr="009F3E61">
        <w:rPr>
          <w:rFonts w:ascii="Times New Roman" w:hAnsi="Times New Roman"/>
          <w:i/>
        </w:rPr>
        <w:t>(declara</w:t>
      </w:r>
      <w:r w:rsidR="00056292">
        <w:rPr>
          <w:rFonts w:ascii="Times New Roman" w:hAnsi="Times New Roman"/>
          <w:i/>
        </w:rPr>
        <w:t>ț</w:t>
      </w:r>
      <w:r w:rsidR="00B35108" w:rsidRPr="009F3E61">
        <w:rPr>
          <w:rFonts w:ascii="Times New Roman" w:hAnsi="Times New Roman"/>
          <w:i/>
        </w:rPr>
        <w:t>ie pe propria r</w:t>
      </w:r>
      <w:r w:rsidR="00056292">
        <w:rPr>
          <w:rFonts w:ascii="Times New Roman" w:hAnsi="Times New Roman"/>
          <w:i/>
        </w:rPr>
        <w:t>ă</w:t>
      </w:r>
      <w:r w:rsidR="00B35108" w:rsidRPr="009F3E61">
        <w:rPr>
          <w:rFonts w:ascii="Times New Roman" w:hAnsi="Times New Roman"/>
          <w:i/>
        </w:rPr>
        <w:t>spundere)</w:t>
      </w:r>
      <w:r w:rsidRPr="009F3E61">
        <w:rPr>
          <w:rFonts w:ascii="Times New Roman" w:hAnsi="Times New Roman"/>
        </w:rPr>
        <w:t xml:space="preserve">. </w:t>
      </w:r>
    </w:p>
    <w:p w14:paraId="3F7758E9" w14:textId="77777777" w:rsidR="00CF1856" w:rsidRPr="004C7390" w:rsidRDefault="00CF1856" w:rsidP="00CF1856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4C739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4C7390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88E92" w14:textId="77777777" w:rsidR="00937A78" w:rsidRDefault="00937A78">
      <w:r>
        <w:separator/>
      </w:r>
    </w:p>
  </w:endnote>
  <w:endnote w:type="continuationSeparator" w:id="0">
    <w:p w14:paraId="1666B347" w14:textId="77777777" w:rsidR="00937A78" w:rsidRDefault="0093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CAEC0" w14:textId="77777777" w:rsidR="00C555A7" w:rsidRDefault="00C55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987F" w14:textId="77777777" w:rsidR="00C555A7" w:rsidRDefault="00C555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3353E" w14:textId="77777777" w:rsidR="00C555A7" w:rsidRDefault="00C55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2FCE" w14:textId="77777777" w:rsidR="00937A78" w:rsidRDefault="00937A78">
      <w:r>
        <w:separator/>
      </w:r>
    </w:p>
  </w:footnote>
  <w:footnote w:type="continuationSeparator" w:id="0">
    <w:p w14:paraId="2669075A" w14:textId="77777777" w:rsidR="00937A78" w:rsidRDefault="0093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5B60E" w14:textId="77777777" w:rsidR="00C555A7" w:rsidRDefault="00C55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7B891F49" w14:textId="6F8F36C4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 xml:space="preserve">ANEXA NR. </w:t>
    </w:r>
    <w:r w:rsidR="00C555A7">
      <w:rPr>
        <w:b/>
        <w:bCs/>
        <w:caps/>
        <w:sz w:val="20"/>
        <w:szCs w:val="20"/>
      </w:rPr>
      <w:t>2</w:t>
    </w:r>
  </w:p>
  <w:p w14:paraId="56822EED" w14:textId="7E650A6D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6</w:t>
    </w:r>
    <w:r w:rsidRPr="001F47EC">
      <w:rPr>
        <w:b/>
        <w:bCs/>
        <w:caps/>
        <w:sz w:val="20"/>
        <w:szCs w:val="20"/>
      </w:rPr>
      <w:t xml:space="preserve"> LA ORDINUL MINISTRULUI </w:t>
    </w:r>
  </w:p>
  <w:p w14:paraId="5B4F1A3B" w14:textId="77777777" w:rsidR="001F47EC" w:rsidRPr="001F47EC" w:rsidRDefault="001F47EC" w:rsidP="001F47EC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1F47EC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D9ED" w14:textId="77777777" w:rsidR="00C555A7" w:rsidRDefault="00C55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738120">
    <w:abstractNumId w:val="26"/>
  </w:num>
  <w:num w:numId="2" w16cid:durableId="1075199820">
    <w:abstractNumId w:val="24"/>
  </w:num>
  <w:num w:numId="3" w16cid:durableId="179855611">
    <w:abstractNumId w:val="20"/>
  </w:num>
  <w:num w:numId="4" w16cid:durableId="1197231662">
    <w:abstractNumId w:val="23"/>
  </w:num>
  <w:num w:numId="5" w16cid:durableId="930235602">
    <w:abstractNumId w:val="17"/>
  </w:num>
  <w:num w:numId="6" w16cid:durableId="697970249">
    <w:abstractNumId w:val="13"/>
  </w:num>
  <w:num w:numId="7" w16cid:durableId="596868088">
    <w:abstractNumId w:val="27"/>
  </w:num>
  <w:num w:numId="8" w16cid:durableId="2065105626">
    <w:abstractNumId w:val="31"/>
  </w:num>
  <w:num w:numId="9" w16cid:durableId="289635375">
    <w:abstractNumId w:val="19"/>
  </w:num>
  <w:num w:numId="10" w16cid:durableId="1213081790">
    <w:abstractNumId w:val="16"/>
  </w:num>
  <w:num w:numId="11" w16cid:durableId="1496342921">
    <w:abstractNumId w:val="25"/>
  </w:num>
  <w:num w:numId="12" w16cid:durableId="1371883426">
    <w:abstractNumId w:val="18"/>
  </w:num>
  <w:num w:numId="13" w16cid:durableId="647830109">
    <w:abstractNumId w:val="12"/>
  </w:num>
  <w:num w:numId="14" w16cid:durableId="136606339">
    <w:abstractNumId w:val="29"/>
  </w:num>
  <w:num w:numId="15" w16cid:durableId="951472096">
    <w:abstractNumId w:val="15"/>
  </w:num>
  <w:num w:numId="16" w16cid:durableId="1079710830">
    <w:abstractNumId w:val="28"/>
  </w:num>
  <w:num w:numId="17" w16cid:durableId="441726257">
    <w:abstractNumId w:val="6"/>
  </w:num>
  <w:num w:numId="18" w16cid:durableId="985162079">
    <w:abstractNumId w:val="30"/>
  </w:num>
  <w:num w:numId="19" w16cid:durableId="275065261">
    <w:abstractNumId w:val="10"/>
  </w:num>
  <w:num w:numId="20" w16cid:durableId="2136295099">
    <w:abstractNumId w:val="4"/>
  </w:num>
  <w:num w:numId="21" w16cid:durableId="2069453524">
    <w:abstractNumId w:val="7"/>
  </w:num>
  <w:num w:numId="22" w16cid:durableId="273095016">
    <w:abstractNumId w:val="32"/>
  </w:num>
  <w:num w:numId="23" w16cid:durableId="2134712311">
    <w:abstractNumId w:val="22"/>
  </w:num>
  <w:num w:numId="24" w16cid:durableId="1903713039">
    <w:abstractNumId w:val="1"/>
  </w:num>
  <w:num w:numId="25" w16cid:durableId="1712531863">
    <w:abstractNumId w:val="8"/>
  </w:num>
  <w:num w:numId="26" w16cid:durableId="946890691">
    <w:abstractNumId w:val="2"/>
  </w:num>
  <w:num w:numId="27" w16cid:durableId="1536624134">
    <w:abstractNumId w:val="3"/>
  </w:num>
  <w:num w:numId="28" w16cid:durableId="1337270873">
    <w:abstractNumId w:val="11"/>
  </w:num>
  <w:num w:numId="29" w16cid:durableId="1764522219">
    <w:abstractNumId w:val="9"/>
  </w:num>
  <w:num w:numId="30" w16cid:durableId="1051341639">
    <w:abstractNumId w:val="14"/>
  </w:num>
  <w:num w:numId="31" w16cid:durableId="327102097">
    <w:abstractNumId w:val="15"/>
  </w:num>
  <w:num w:numId="32" w16cid:durableId="162011098">
    <w:abstractNumId w:val="5"/>
  </w:num>
  <w:num w:numId="33" w16cid:durableId="332803267">
    <w:abstractNumId w:val="21"/>
  </w:num>
  <w:num w:numId="34" w16cid:durableId="565385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4FA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47EC"/>
    <w:rsid w:val="001F7F78"/>
    <w:rsid w:val="0020504D"/>
    <w:rsid w:val="002145F9"/>
    <w:rsid w:val="00227357"/>
    <w:rsid w:val="002335C1"/>
    <w:rsid w:val="002349F9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0E7E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257C4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878FE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5FAA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3779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27B5"/>
    <w:rsid w:val="008136AA"/>
    <w:rsid w:val="00815391"/>
    <w:rsid w:val="008223CB"/>
    <w:rsid w:val="0083732D"/>
    <w:rsid w:val="00840344"/>
    <w:rsid w:val="0085663D"/>
    <w:rsid w:val="0086190F"/>
    <w:rsid w:val="00862E3E"/>
    <w:rsid w:val="00866642"/>
    <w:rsid w:val="00876DA7"/>
    <w:rsid w:val="008773B9"/>
    <w:rsid w:val="008837C2"/>
    <w:rsid w:val="008A2AA3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375FE"/>
    <w:rsid w:val="00937A78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0408"/>
    <w:rsid w:val="00A22407"/>
    <w:rsid w:val="00A22577"/>
    <w:rsid w:val="00A2645E"/>
    <w:rsid w:val="00A31144"/>
    <w:rsid w:val="00A343D5"/>
    <w:rsid w:val="00A51410"/>
    <w:rsid w:val="00A60A7F"/>
    <w:rsid w:val="00A64592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2EC5"/>
    <w:rsid w:val="00B95664"/>
    <w:rsid w:val="00BA3636"/>
    <w:rsid w:val="00BC1535"/>
    <w:rsid w:val="00BC60EA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55A7"/>
    <w:rsid w:val="00C57340"/>
    <w:rsid w:val="00C63345"/>
    <w:rsid w:val="00C6402F"/>
    <w:rsid w:val="00C672F7"/>
    <w:rsid w:val="00C8262D"/>
    <w:rsid w:val="00C85207"/>
    <w:rsid w:val="00CA0D23"/>
    <w:rsid w:val="00CB078E"/>
    <w:rsid w:val="00CB0A39"/>
    <w:rsid w:val="00CB12BE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0E24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D7B80"/>
    <w:rsid w:val="00DF285A"/>
    <w:rsid w:val="00DF37A9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52C67"/>
    <w:rsid w:val="00E6404D"/>
    <w:rsid w:val="00E670F6"/>
    <w:rsid w:val="00E67E4E"/>
    <w:rsid w:val="00E72520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5A7AE-9142-4AC0-A871-BE45B3835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2023-06-14T12:26:00Z</dcterms:created>
  <dcterms:modified xsi:type="dcterms:W3CDTF">2023-06-15T05:52:00Z</dcterms:modified>
</cp:coreProperties>
</file>