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0097" w14:textId="32B4CEC6" w:rsidR="004D0C64" w:rsidRDefault="004D0C64">
      <w:pPr>
        <w:rPr>
          <w:lang w:val="ro-RO"/>
        </w:rPr>
      </w:pPr>
    </w:p>
    <w:p w14:paraId="74355F69" w14:textId="25E7D0F0" w:rsidR="00B907F3" w:rsidRPr="00B907F3" w:rsidRDefault="00B907F3" w:rsidP="00B907F3">
      <w:pPr>
        <w:jc w:val="center"/>
        <w:rPr>
          <w:b/>
          <w:bCs/>
          <w:lang w:val="ro-RO"/>
        </w:rPr>
      </w:pPr>
      <w:r w:rsidRPr="00B907F3">
        <w:rPr>
          <w:b/>
          <w:bCs/>
          <w:lang w:val="ro-RO"/>
        </w:rPr>
        <w:t>RĂSPUNSURI</w:t>
      </w:r>
      <w:r>
        <w:rPr>
          <w:b/>
          <w:bCs/>
          <w:lang w:val="ro-RO"/>
        </w:rPr>
        <w:t xml:space="preserve"> </w:t>
      </w:r>
      <w:r w:rsidRPr="00B907F3">
        <w:rPr>
          <w:b/>
          <w:bCs/>
          <w:lang w:val="ro-RO"/>
        </w:rPr>
        <w:t xml:space="preserve">LA OBSERVAȚIILE PRIMITE </w:t>
      </w:r>
      <w:r w:rsidR="002965A6">
        <w:rPr>
          <w:b/>
          <w:bCs/>
          <w:lang w:val="ro-RO"/>
        </w:rPr>
        <w:t>ASUPRA</w:t>
      </w:r>
      <w:r w:rsidRPr="00B907F3">
        <w:rPr>
          <w:b/>
          <w:bCs/>
          <w:lang w:val="ro-RO"/>
        </w:rPr>
        <w:t xml:space="preserve"> POR SUD</w:t>
      </w:r>
      <w:r>
        <w:rPr>
          <w:b/>
          <w:bCs/>
          <w:lang w:val="ro-RO"/>
        </w:rPr>
        <w:t>-</w:t>
      </w:r>
      <w:r w:rsidRPr="00B907F3">
        <w:rPr>
          <w:b/>
          <w:bCs/>
          <w:lang w:val="ro-RO"/>
        </w:rPr>
        <w:t>MUNTENIA ÎN PERIOADA DE CONSULTARE PUBLICĂ</w:t>
      </w:r>
      <w:r>
        <w:rPr>
          <w:b/>
          <w:bCs/>
          <w:lang w:val="ro-RO"/>
        </w:rPr>
        <w:t xml:space="preserve"> </w:t>
      </w:r>
    </w:p>
    <w:tbl>
      <w:tblPr>
        <w:tblStyle w:val="TableGrid"/>
        <w:tblW w:w="0" w:type="auto"/>
        <w:tblLayout w:type="fixed"/>
        <w:tblLook w:val="04A0" w:firstRow="1" w:lastRow="0" w:firstColumn="1" w:lastColumn="0" w:noHBand="0" w:noVBand="1"/>
      </w:tblPr>
      <w:tblGrid>
        <w:gridCol w:w="596"/>
        <w:gridCol w:w="1333"/>
        <w:gridCol w:w="1043"/>
        <w:gridCol w:w="1433"/>
        <w:gridCol w:w="4950"/>
        <w:gridCol w:w="4593"/>
      </w:tblGrid>
      <w:tr w:rsidR="00FD7A62" w:rsidRPr="00FD7A62" w14:paraId="3C57A6A2" w14:textId="77777777" w:rsidTr="005B392F">
        <w:trPr>
          <w:trHeight w:val="294"/>
        </w:trPr>
        <w:tc>
          <w:tcPr>
            <w:tcW w:w="13948" w:type="dxa"/>
            <w:gridSpan w:val="6"/>
            <w:shd w:val="clear" w:color="auto" w:fill="BDD6EE" w:themeFill="accent5" w:themeFillTint="66"/>
            <w:hideMark/>
          </w:tcPr>
          <w:p w14:paraId="7E592119" w14:textId="3BE9B92B" w:rsidR="00FD7A62" w:rsidRPr="00FD7A62" w:rsidRDefault="00FD7A62" w:rsidP="005B392F">
            <w:pPr>
              <w:jc w:val="center"/>
              <w:rPr>
                <w:rFonts w:cstheme="minorHAnsi"/>
                <w:b/>
                <w:bCs/>
                <w:lang w:val="ro-RO"/>
              </w:rPr>
            </w:pPr>
            <w:r w:rsidRPr="00FD7A62">
              <w:rPr>
                <w:rFonts w:cstheme="minorHAnsi"/>
                <w:b/>
                <w:bCs/>
                <w:lang w:val="ro-RO"/>
              </w:rPr>
              <w:t>Observații primite la POR Sud</w:t>
            </w:r>
            <w:r w:rsidR="00B907F3">
              <w:rPr>
                <w:rFonts w:cstheme="minorHAnsi"/>
                <w:b/>
                <w:bCs/>
                <w:lang w:val="ro-RO"/>
              </w:rPr>
              <w:t>-</w:t>
            </w:r>
            <w:r w:rsidRPr="00FD7A62">
              <w:rPr>
                <w:rFonts w:cstheme="minorHAnsi"/>
                <w:b/>
                <w:bCs/>
                <w:lang w:val="ro-RO"/>
              </w:rPr>
              <w:t>Muntenia 2021-2027 - versiunea 3 consultare publica 01.11.2021 pana in data de 02.12.2021</w:t>
            </w:r>
          </w:p>
        </w:tc>
      </w:tr>
      <w:tr w:rsidR="00FD7A62" w:rsidRPr="00FD7A62" w14:paraId="0E021F32" w14:textId="77777777" w:rsidTr="00931287">
        <w:trPr>
          <w:trHeight w:val="864"/>
        </w:trPr>
        <w:tc>
          <w:tcPr>
            <w:tcW w:w="596" w:type="dxa"/>
            <w:hideMark/>
          </w:tcPr>
          <w:p w14:paraId="09A06AA6" w14:textId="77777777" w:rsidR="00FD7A62" w:rsidRPr="00FD7A62" w:rsidRDefault="00FD7A62" w:rsidP="002965A6">
            <w:pPr>
              <w:jc w:val="center"/>
              <w:rPr>
                <w:rFonts w:cstheme="minorHAnsi"/>
                <w:b/>
                <w:bCs/>
                <w:lang w:val="ro-RO"/>
              </w:rPr>
            </w:pPr>
            <w:r w:rsidRPr="00FD7A62">
              <w:rPr>
                <w:rFonts w:cstheme="minorHAnsi"/>
                <w:b/>
                <w:bCs/>
                <w:lang w:val="ro-RO"/>
              </w:rPr>
              <w:t>Nr. crt.</w:t>
            </w:r>
          </w:p>
        </w:tc>
        <w:tc>
          <w:tcPr>
            <w:tcW w:w="1333" w:type="dxa"/>
            <w:hideMark/>
          </w:tcPr>
          <w:p w14:paraId="6A2814F4" w14:textId="6D54C8F1" w:rsidR="00FD7A62" w:rsidRPr="00FD7A62" w:rsidRDefault="00FD7A62" w:rsidP="002965A6">
            <w:pPr>
              <w:jc w:val="center"/>
              <w:rPr>
                <w:rFonts w:cstheme="minorHAnsi"/>
                <w:b/>
                <w:bCs/>
                <w:lang w:val="ro-RO"/>
              </w:rPr>
            </w:pPr>
            <w:r w:rsidRPr="00FD7A62">
              <w:rPr>
                <w:rFonts w:cstheme="minorHAnsi"/>
                <w:b/>
                <w:bCs/>
                <w:lang w:val="ro-RO"/>
              </w:rPr>
              <w:t>Organizați</w:t>
            </w:r>
            <w:r w:rsidR="00D45F33">
              <w:rPr>
                <w:rFonts w:cstheme="minorHAnsi"/>
                <w:b/>
                <w:bCs/>
                <w:lang w:val="ro-RO"/>
              </w:rPr>
              <w:t>e</w:t>
            </w:r>
          </w:p>
        </w:tc>
        <w:tc>
          <w:tcPr>
            <w:tcW w:w="1043" w:type="dxa"/>
            <w:hideMark/>
          </w:tcPr>
          <w:p w14:paraId="1EB8CCC1" w14:textId="77777777" w:rsidR="00FD7A62" w:rsidRPr="00FD7A62" w:rsidRDefault="00FD7A62" w:rsidP="002965A6">
            <w:pPr>
              <w:jc w:val="center"/>
              <w:rPr>
                <w:rFonts w:cstheme="minorHAnsi"/>
                <w:b/>
                <w:bCs/>
                <w:lang w:val="ro-RO"/>
              </w:rPr>
            </w:pPr>
            <w:r w:rsidRPr="00FD7A62">
              <w:rPr>
                <w:rFonts w:cstheme="minorHAnsi"/>
                <w:b/>
                <w:bCs/>
                <w:lang w:val="ro-RO"/>
              </w:rPr>
              <w:t>Adresa oficială/e-mail</w:t>
            </w:r>
          </w:p>
        </w:tc>
        <w:tc>
          <w:tcPr>
            <w:tcW w:w="1433" w:type="dxa"/>
            <w:hideMark/>
          </w:tcPr>
          <w:p w14:paraId="3293C21C" w14:textId="22722AB1" w:rsidR="00FD7A62" w:rsidRPr="00FD7A62" w:rsidRDefault="00FD7A62" w:rsidP="002965A6">
            <w:pPr>
              <w:jc w:val="center"/>
              <w:rPr>
                <w:rFonts w:cstheme="minorHAnsi"/>
                <w:b/>
                <w:bCs/>
                <w:lang w:val="ro-RO"/>
              </w:rPr>
            </w:pPr>
            <w:r w:rsidRPr="00FD7A62">
              <w:rPr>
                <w:rFonts w:cstheme="minorHAnsi"/>
                <w:b/>
                <w:bCs/>
                <w:lang w:val="ro-RO"/>
              </w:rPr>
              <w:t>Nr</w:t>
            </w:r>
            <w:r w:rsidR="00D45F33">
              <w:rPr>
                <w:rFonts w:cstheme="minorHAnsi"/>
                <w:b/>
                <w:bCs/>
                <w:lang w:val="ro-RO"/>
              </w:rPr>
              <w:t>.</w:t>
            </w:r>
            <w:r w:rsidRPr="00FD7A62">
              <w:rPr>
                <w:rFonts w:cstheme="minorHAnsi"/>
                <w:b/>
                <w:bCs/>
                <w:lang w:val="ro-RO"/>
              </w:rPr>
              <w:t xml:space="preserve"> de </w:t>
            </w:r>
            <w:r w:rsidR="00D45F33" w:rsidRPr="00FD7A62">
              <w:rPr>
                <w:rFonts w:cstheme="minorHAnsi"/>
                <w:b/>
                <w:bCs/>
                <w:lang w:val="ro-RO"/>
              </w:rPr>
              <w:t>înregistrare</w:t>
            </w:r>
            <w:r w:rsidRPr="00FD7A62">
              <w:rPr>
                <w:rFonts w:cstheme="minorHAnsi"/>
                <w:b/>
                <w:bCs/>
                <w:lang w:val="ro-RO"/>
              </w:rPr>
              <w:t xml:space="preserve"> primire ADR</w:t>
            </w:r>
            <w:r w:rsidR="00D45F33">
              <w:rPr>
                <w:rFonts w:cstheme="minorHAnsi"/>
                <w:b/>
                <w:bCs/>
                <w:lang w:val="ro-RO"/>
              </w:rPr>
              <w:t>SM</w:t>
            </w:r>
          </w:p>
        </w:tc>
        <w:tc>
          <w:tcPr>
            <w:tcW w:w="4950" w:type="dxa"/>
            <w:hideMark/>
          </w:tcPr>
          <w:p w14:paraId="698A7646" w14:textId="77777777" w:rsidR="00FD7A62" w:rsidRPr="00FD7A62" w:rsidRDefault="00FD7A62" w:rsidP="002965A6">
            <w:pPr>
              <w:jc w:val="center"/>
              <w:rPr>
                <w:rFonts w:cstheme="minorHAnsi"/>
                <w:b/>
                <w:bCs/>
                <w:lang w:val="ro-RO"/>
              </w:rPr>
            </w:pPr>
            <w:r w:rsidRPr="00FD7A62">
              <w:rPr>
                <w:rFonts w:cstheme="minorHAnsi"/>
                <w:b/>
                <w:bCs/>
                <w:lang w:val="ro-RO"/>
              </w:rPr>
              <w:t>Observații</w:t>
            </w:r>
          </w:p>
        </w:tc>
        <w:tc>
          <w:tcPr>
            <w:tcW w:w="4593" w:type="dxa"/>
            <w:hideMark/>
          </w:tcPr>
          <w:p w14:paraId="7FE84DEB" w14:textId="77777777" w:rsidR="00FD7A62" w:rsidRPr="00FD7A62" w:rsidRDefault="00FD7A62" w:rsidP="002965A6">
            <w:pPr>
              <w:jc w:val="center"/>
              <w:rPr>
                <w:rFonts w:cstheme="minorHAnsi"/>
                <w:b/>
                <w:bCs/>
                <w:lang w:val="ro-RO"/>
              </w:rPr>
            </w:pPr>
            <w:r w:rsidRPr="00FD7A62">
              <w:rPr>
                <w:rFonts w:cstheme="minorHAnsi"/>
                <w:b/>
                <w:bCs/>
                <w:lang w:val="ro-RO"/>
              </w:rPr>
              <w:t>Răspuns ADRSM</w:t>
            </w:r>
          </w:p>
        </w:tc>
      </w:tr>
      <w:tr w:rsidR="00FD7A62" w:rsidRPr="00FD7A62" w14:paraId="6AFFBEB5" w14:textId="77777777" w:rsidTr="00931287">
        <w:trPr>
          <w:trHeight w:val="3744"/>
        </w:trPr>
        <w:tc>
          <w:tcPr>
            <w:tcW w:w="596" w:type="dxa"/>
            <w:hideMark/>
          </w:tcPr>
          <w:p w14:paraId="02736728" w14:textId="77777777" w:rsidR="00FD7A62" w:rsidRPr="00FD7A62" w:rsidRDefault="00FD7A62" w:rsidP="00FD7A62">
            <w:pPr>
              <w:rPr>
                <w:rFonts w:cstheme="minorHAnsi"/>
                <w:lang w:val="ro-RO"/>
              </w:rPr>
            </w:pPr>
            <w:r w:rsidRPr="00FD7A62">
              <w:rPr>
                <w:rFonts w:cstheme="minorHAnsi"/>
                <w:lang w:val="ro-RO"/>
              </w:rPr>
              <w:t>1</w:t>
            </w:r>
          </w:p>
        </w:tc>
        <w:tc>
          <w:tcPr>
            <w:tcW w:w="1333" w:type="dxa"/>
            <w:hideMark/>
          </w:tcPr>
          <w:p w14:paraId="20492088" w14:textId="77777777" w:rsidR="00FD7A62" w:rsidRPr="00FD7A62" w:rsidRDefault="00FD7A62" w:rsidP="00FD7A62">
            <w:pPr>
              <w:rPr>
                <w:rFonts w:cstheme="minorHAnsi"/>
                <w:lang w:val="ro-RO"/>
              </w:rPr>
            </w:pPr>
            <w:r w:rsidRPr="00FD7A62">
              <w:rPr>
                <w:rFonts w:cstheme="minorHAnsi"/>
                <w:lang w:val="ro-RO"/>
              </w:rPr>
              <w:t>GL CONSULT BUSINESS PROJECT SRL</w:t>
            </w:r>
          </w:p>
        </w:tc>
        <w:tc>
          <w:tcPr>
            <w:tcW w:w="1043" w:type="dxa"/>
            <w:hideMark/>
          </w:tcPr>
          <w:p w14:paraId="3071C153" w14:textId="77777777" w:rsidR="00FD7A62" w:rsidRPr="00FD7A62" w:rsidRDefault="00FD7A62" w:rsidP="00FD7A62">
            <w:pPr>
              <w:rPr>
                <w:rFonts w:cstheme="minorHAnsi"/>
                <w:lang w:val="ro-RO"/>
              </w:rPr>
            </w:pPr>
            <w:r w:rsidRPr="00FD7A62">
              <w:rPr>
                <w:rFonts w:cstheme="minorHAnsi"/>
                <w:lang w:val="ro-RO"/>
              </w:rPr>
              <w:t>e-mail transmis 03.11.2021</w:t>
            </w:r>
          </w:p>
        </w:tc>
        <w:tc>
          <w:tcPr>
            <w:tcW w:w="1433" w:type="dxa"/>
            <w:hideMark/>
          </w:tcPr>
          <w:p w14:paraId="17125550" w14:textId="77777777" w:rsidR="00FD7A62" w:rsidRPr="00FD7A62" w:rsidRDefault="00FD7A62" w:rsidP="00FD7A62">
            <w:pPr>
              <w:rPr>
                <w:rFonts w:cstheme="minorHAnsi"/>
                <w:lang w:val="ro-RO"/>
              </w:rPr>
            </w:pPr>
            <w:r w:rsidRPr="00FD7A62">
              <w:rPr>
                <w:rFonts w:cstheme="minorHAnsi"/>
                <w:lang w:val="ro-RO"/>
              </w:rPr>
              <w:t>1031/AM/03.11.2021</w:t>
            </w:r>
          </w:p>
        </w:tc>
        <w:tc>
          <w:tcPr>
            <w:tcW w:w="4950" w:type="dxa"/>
            <w:hideMark/>
          </w:tcPr>
          <w:p w14:paraId="355F8E78" w14:textId="15799D3F" w:rsidR="00FD7A62" w:rsidRPr="00FD7A62" w:rsidRDefault="00FD7A62" w:rsidP="00B907F3">
            <w:pPr>
              <w:spacing w:after="160"/>
              <w:jc w:val="both"/>
              <w:rPr>
                <w:rFonts w:cstheme="minorHAnsi"/>
                <w:lang w:val="ro-RO"/>
              </w:rPr>
            </w:pPr>
            <w:r w:rsidRPr="00FD7A62">
              <w:rPr>
                <w:rFonts w:cstheme="minorHAnsi"/>
                <w:lang w:val="ro-RO"/>
              </w:rPr>
              <w:t xml:space="preserve">Avand in vedere aparitia versiunii cu numarul 3 a POR 2021-2027 pentru regiunea Sud Muntenia, doresc sa aflu daca </w:t>
            </w:r>
            <w:r w:rsidRPr="00FD7A62">
              <w:rPr>
                <w:rFonts w:cstheme="minorHAnsi"/>
                <w:b/>
                <w:bCs/>
                <w:u w:val="single"/>
                <w:lang w:val="ro-RO"/>
              </w:rPr>
              <w:t>Prioritatea 6 "O regiune atractiva" (pag 125)</w:t>
            </w:r>
            <w:r w:rsidRPr="00FD7A62">
              <w:rPr>
                <w:rFonts w:cstheme="minorHAnsi"/>
                <w:lang w:val="ro-RO"/>
              </w:rPr>
              <w:t>, face referire si la beneficiari privati, fie ei S.R.L sau S.A, cu sedii si puncte de lucru in Sinaia, prin urmare:</w:t>
            </w:r>
            <w:r w:rsidRPr="00FD7A62">
              <w:rPr>
                <w:rFonts w:cstheme="minorHAnsi"/>
                <w:lang w:val="ro-RO"/>
              </w:rPr>
              <w:br/>
              <w:t>In cazul S.A. vor fi eligibile societatile ce au ca si actionariat fonduri de investitii intr-un procent mai mare de 25%?</w:t>
            </w:r>
            <w:r w:rsidRPr="00FD7A62">
              <w:rPr>
                <w:rFonts w:cstheme="minorHAnsi"/>
                <w:lang w:val="ro-RO"/>
              </w:rPr>
              <w:br/>
              <w:t>Vor fi eligibile cererile de finantare a celor doua tipuri pe societati, daca intrunesc celelalte conditii?</w:t>
            </w:r>
          </w:p>
        </w:tc>
        <w:tc>
          <w:tcPr>
            <w:tcW w:w="4593" w:type="dxa"/>
            <w:hideMark/>
          </w:tcPr>
          <w:p w14:paraId="2DE9521C" w14:textId="513F1D2A" w:rsidR="00FD7A62" w:rsidRPr="00FD7A62" w:rsidRDefault="00FD7A62" w:rsidP="00B907F3">
            <w:pPr>
              <w:spacing w:after="160"/>
              <w:jc w:val="both"/>
              <w:rPr>
                <w:rFonts w:cstheme="minorHAnsi"/>
                <w:lang w:val="ro-RO"/>
              </w:rPr>
            </w:pPr>
            <w:r w:rsidRPr="00FD7A62">
              <w:rPr>
                <w:rFonts w:cstheme="minorHAnsi"/>
                <w:lang w:val="ro-RO"/>
              </w:rPr>
              <w:t xml:space="preserve">Acțiunile indicative finanțate prin intermediul </w:t>
            </w:r>
            <w:r w:rsidRPr="00FD7A62">
              <w:rPr>
                <w:rFonts w:cstheme="minorHAnsi"/>
                <w:i/>
                <w:iCs/>
                <w:lang w:val="ro-RO"/>
              </w:rPr>
              <w:t>Priorității 6 - O regiune atractivă</w:t>
            </w:r>
            <w:r w:rsidRPr="00FD7A62">
              <w:rPr>
                <w:rFonts w:cstheme="minorHAnsi"/>
                <w:lang w:val="ro-RO"/>
              </w:rPr>
              <w:t xml:space="preserve">, se adresează exclusiv autorităților și instituțiilor publice. În ceea ce privește beneficiarii privații, aceștia vor fi eligibili la finanțare în cadrul </w:t>
            </w:r>
            <w:r w:rsidRPr="00FD7A62">
              <w:rPr>
                <w:rFonts w:cstheme="minorHAnsi"/>
                <w:i/>
                <w:iCs/>
                <w:lang w:val="ro-RO"/>
              </w:rPr>
              <w:t>Priorității 1 - O regiune competitivă prin inovare, digitalizare și întreprinderi dinamice</w:t>
            </w:r>
            <w:r w:rsidRPr="00FD7A62">
              <w:rPr>
                <w:rFonts w:cstheme="minorHAnsi"/>
                <w:lang w:val="ro-RO"/>
              </w:rPr>
              <w:t xml:space="preserve">. Mai mult, turismul a fost identificat ca fiind un domeniu de specializare inteligentă în cadrul Strategiei de Specializare Inteligentă a Regiunii Sud-Muntenia 2021-2027, document care stă la baza finanțării proiectelor din cadrul Priorității 1 - </w:t>
            </w:r>
            <w:r w:rsidRPr="00FD7A62">
              <w:rPr>
                <w:rFonts w:cstheme="minorHAnsi"/>
                <w:i/>
                <w:iCs/>
                <w:lang w:val="ro-RO"/>
              </w:rPr>
              <w:t>Obiectivul Specific a(i) Dezvoltarea și creșterea capacităților de cercetare și inovare și adoptarea tehnologiilor avansate</w:t>
            </w:r>
            <w:r w:rsidRPr="00FD7A62">
              <w:rPr>
                <w:rFonts w:cstheme="minorHAnsi"/>
                <w:lang w:val="ro-RO"/>
              </w:rPr>
              <w:t xml:space="preserve"> și </w:t>
            </w:r>
            <w:r w:rsidRPr="00FD7A62">
              <w:rPr>
                <w:rFonts w:cstheme="minorHAnsi"/>
                <w:i/>
                <w:iCs/>
                <w:lang w:val="ro-RO"/>
              </w:rPr>
              <w:t>Obiectivul Specific a(iv) Dezvoltarea competențelor pentru specializare inteligentă, tranziție industrială și antreprenoriat</w:t>
            </w:r>
            <w:r w:rsidRPr="00FD7A62">
              <w:rPr>
                <w:rFonts w:cstheme="minorHAnsi"/>
                <w:lang w:val="ro-RO"/>
              </w:rPr>
              <w:t xml:space="preserve">. </w:t>
            </w:r>
            <w:r w:rsidRPr="00FD7A62">
              <w:rPr>
                <w:rFonts w:cstheme="minorHAnsi"/>
                <w:lang w:val="ro-RO"/>
              </w:rPr>
              <w:br/>
              <w:t xml:space="preserve">Referitor la eligibilitatea cererilor de finanțare, precizăm faptul că informațiile privind condițiile de eligibilitate și selecție privind cererile de finanțare vor fi  detaliate prin Ghidul Solicitantului, care va fi elaborat după aprobarea programului. </w:t>
            </w:r>
          </w:p>
        </w:tc>
      </w:tr>
      <w:tr w:rsidR="00FD7A62" w:rsidRPr="00FD7A62" w14:paraId="32C0000C" w14:textId="77777777" w:rsidTr="00931287">
        <w:trPr>
          <w:trHeight w:val="3744"/>
        </w:trPr>
        <w:tc>
          <w:tcPr>
            <w:tcW w:w="596" w:type="dxa"/>
            <w:noWrap/>
            <w:hideMark/>
          </w:tcPr>
          <w:p w14:paraId="70440AFB" w14:textId="77777777" w:rsidR="00FD7A62" w:rsidRPr="00FD7A62" w:rsidRDefault="00FD7A62" w:rsidP="00FD7A62">
            <w:pPr>
              <w:rPr>
                <w:rFonts w:cstheme="minorHAnsi"/>
                <w:lang w:val="ro-RO"/>
              </w:rPr>
            </w:pPr>
            <w:r w:rsidRPr="00FD7A62">
              <w:rPr>
                <w:rFonts w:cstheme="minorHAnsi"/>
                <w:lang w:val="ro-RO"/>
              </w:rPr>
              <w:lastRenderedPageBreak/>
              <w:t>2</w:t>
            </w:r>
          </w:p>
        </w:tc>
        <w:tc>
          <w:tcPr>
            <w:tcW w:w="1333" w:type="dxa"/>
            <w:vMerge w:val="restart"/>
            <w:noWrap/>
            <w:hideMark/>
          </w:tcPr>
          <w:p w14:paraId="7D66284E" w14:textId="77777777" w:rsidR="00FD7A62" w:rsidRPr="00FD7A62" w:rsidRDefault="00FD7A62" w:rsidP="00FD7A62">
            <w:pPr>
              <w:rPr>
                <w:rFonts w:cstheme="minorHAnsi"/>
                <w:lang w:val="ro-RO"/>
              </w:rPr>
            </w:pPr>
            <w:r w:rsidRPr="00FD7A62">
              <w:rPr>
                <w:rFonts w:cstheme="minorHAnsi"/>
                <w:lang w:val="ro-RO"/>
              </w:rPr>
              <w:t>Trustic Design SRL</w:t>
            </w:r>
          </w:p>
        </w:tc>
        <w:tc>
          <w:tcPr>
            <w:tcW w:w="1043" w:type="dxa"/>
            <w:hideMark/>
          </w:tcPr>
          <w:p w14:paraId="5325328B" w14:textId="77777777" w:rsidR="00FD7A62" w:rsidRPr="00FD7A62" w:rsidRDefault="00FD7A62" w:rsidP="00FD7A62">
            <w:pPr>
              <w:rPr>
                <w:rFonts w:cstheme="minorHAnsi"/>
                <w:lang w:val="ro-RO"/>
              </w:rPr>
            </w:pPr>
            <w:r w:rsidRPr="00FD7A62">
              <w:rPr>
                <w:rFonts w:cstheme="minorHAnsi"/>
                <w:lang w:val="ro-RO"/>
              </w:rPr>
              <w:t>e-mail transmis 04.11.2021</w:t>
            </w:r>
          </w:p>
        </w:tc>
        <w:tc>
          <w:tcPr>
            <w:tcW w:w="1433" w:type="dxa"/>
            <w:hideMark/>
          </w:tcPr>
          <w:p w14:paraId="5510E23A" w14:textId="77777777" w:rsidR="00FD7A62" w:rsidRPr="00FD7A62" w:rsidRDefault="00FD7A62" w:rsidP="00FD7A62">
            <w:pPr>
              <w:rPr>
                <w:rFonts w:cstheme="minorHAnsi"/>
                <w:lang w:val="ro-RO"/>
              </w:rPr>
            </w:pPr>
            <w:r w:rsidRPr="00FD7A62">
              <w:rPr>
                <w:rFonts w:cstheme="minorHAnsi"/>
                <w:lang w:val="ro-RO"/>
              </w:rPr>
              <w:t>1033/AM/04.11.2021</w:t>
            </w:r>
          </w:p>
        </w:tc>
        <w:tc>
          <w:tcPr>
            <w:tcW w:w="4950" w:type="dxa"/>
            <w:hideMark/>
          </w:tcPr>
          <w:p w14:paraId="03C39BD9" w14:textId="044A95CE" w:rsidR="00FD7A62" w:rsidRPr="00FD7A62" w:rsidRDefault="00FD7A62" w:rsidP="00B907F3">
            <w:pPr>
              <w:jc w:val="both"/>
              <w:rPr>
                <w:rFonts w:cstheme="minorHAnsi"/>
                <w:lang w:val="ro-RO"/>
              </w:rPr>
            </w:pPr>
            <w:r w:rsidRPr="00FD7A62">
              <w:rPr>
                <w:rFonts w:cstheme="minorHAnsi"/>
                <w:lang w:val="ro-RO"/>
              </w:rPr>
              <w:t xml:space="preserve">Observațiile  se referă la </w:t>
            </w:r>
            <w:r w:rsidRPr="00FD7A62">
              <w:rPr>
                <w:rFonts w:cstheme="minorHAnsi"/>
                <w:b/>
                <w:bCs/>
                <w:u w:val="single"/>
                <w:lang w:val="ro-RO"/>
              </w:rPr>
              <w:t>prioritatea 1</w:t>
            </w:r>
            <w:r w:rsidRPr="00FD7A62">
              <w:rPr>
                <w:rFonts w:cstheme="minorHAnsi"/>
                <w:lang w:val="ro-RO"/>
              </w:rPr>
              <w:t>, unde am observat ca sunt 3 obiective specifice, dintre care numai una urmează sa beneficieze de sprijin prin intermediul instrumentelor financiare: împrumut.</w:t>
            </w:r>
            <w:r w:rsidRPr="00FD7A62">
              <w:rPr>
                <w:rFonts w:cstheme="minorHAnsi"/>
                <w:lang w:val="ro-RO"/>
              </w:rPr>
              <w:br/>
              <w:t>Mai precis, doar obiectivul specific a(iii) va beneficia de acest tip de ajutor (împrumut).</w:t>
            </w:r>
            <w:r w:rsidRPr="00FD7A62">
              <w:rPr>
                <w:rFonts w:cstheme="minorHAnsi"/>
                <w:lang w:val="ro-RO"/>
              </w:rPr>
              <w:br/>
              <w:t>Sugestia mea este sa se acorde acest tip de ajutor si celorlalte 2 obiective, mai ales ca proiectele RIS3 aflate in anexa strategiei de specializare inteligentă SM, se vor încadra cel mai probabil la celelalte 2 obiective specifice: a{i) si a(ii), ceea ce inseamna ca practic proiectele de specializare inteligentă nu vor beneficia de acest tip de ajutor, proiecte care reprezinta esenta intregii prioritati 1.</w:t>
            </w:r>
          </w:p>
        </w:tc>
        <w:tc>
          <w:tcPr>
            <w:tcW w:w="4593" w:type="dxa"/>
            <w:hideMark/>
          </w:tcPr>
          <w:p w14:paraId="023E7FF8" w14:textId="060E7203" w:rsidR="00FD7A62" w:rsidRPr="00FD7A62" w:rsidRDefault="00FD7A62" w:rsidP="00B907F3">
            <w:pPr>
              <w:jc w:val="both"/>
              <w:rPr>
                <w:rFonts w:cstheme="minorHAnsi"/>
                <w:lang w:val="ro-RO"/>
              </w:rPr>
            </w:pPr>
            <w:r w:rsidRPr="00FD7A62">
              <w:rPr>
                <w:rFonts w:cstheme="minorHAnsi"/>
                <w:lang w:val="ro-RO"/>
              </w:rPr>
              <w:t xml:space="preserve">În ceea ce privește Instrumentele financiare pentru beneficiarii privați, conform prevederilor Acordului de Parteneriat, prin Programele Operaționale Regionale se are în vedere finanțarea sub formă de grant a antreprenoriatului și infrastructurii suport pentru afaceri și stimularea activităților inovatoare și creșterea competitivității IMM-urilor, iar prin Programul Operațional Creștere Inteligentă, Digitalizare și Instrumente Financiare (POCIDIF) se va oferi sprijin prin instrumente financiare pentru întreprinderi, inclusiv in domeniile de specializare inteligentă. </w:t>
            </w:r>
            <w:r w:rsidRPr="00FD7A62">
              <w:rPr>
                <w:rFonts w:cstheme="minorHAnsi"/>
                <w:lang w:val="ro-RO"/>
              </w:rPr>
              <w:br/>
              <w:t xml:space="preserve">De asemenea, sprijinul acordat beneficiarilor privați prin Programul Operațional Regional Sud-Muntenia sub formă de grant este complementar sprijinului acordat prin Planul Național de Redresare și Reziliență (PNRR), care sub </w:t>
            </w:r>
            <w:r w:rsidRPr="00FD7A62">
              <w:rPr>
                <w:rFonts w:cstheme="minorHAnsi"/>
                <w:i/>
                <w:iCs/>
                <w:lang w:val="ro-RO"/>
              </w:rPr>
              <w:t>Componenta 9 - Suport pentru sectorul privat și CDI</w:t>
            </w:r>
            <w:r w:rsidRPr="00FD7A62">
              <w:rPr>
                <w:rFonts w:cstheme="minorHAnsi"/>
                <w:lang w:val="ro-RO"/>
              </w:rPr>
              <w:t xml:space="preserve">, va sprijini mai multe tipuri de instrumente </w:t>
            </w:r>
            <w:r w:rsidR="00A0528B" w:rsidRPr="00FD7A62">
              <w:rPr>
                <w:rFonts w:cstheme="minorHAnsi"/>
                <w:lang w:val="ro-RO"/>
              </w:rPr>
              <w:t>financiare</w:t>
            </w:r>
            <w:r w:rsidRPr="00FD7A62">
              <w:rPr>
                <w:rFonts w:cstheme="minorHAnsi"/>
                <w:lang w:val="ro-RO"/>
              </w:rPr>
              <w:t xml:space="preserve"> pentru beneficiarii privați. </w:t>
            </w:r>
          </w:p>
        </w:tc>
      </w:tr>
      <w:tr w:rsidR="00FD7A62" w:rsidRPr="00FD7A62" w14:paraId="3411C933" w14:textId="77777777" w:rsidTr="00931287">
        <w:trPr>
          <w:trHeight w:val="5760"/>
        </w:trPr>
        <w:tc>
          <w:tcPr>
            <w:tcW w:w="596" w:type="dxa"/>
            <w:noWrap/>
            <w:hideMark/>
          </w:tcPr>
          <w:p w14:paraId="0ACE939F" w14:textId="77777777" w:rsidR="00FD7A62" w:rsidRPr="00FD7A62" w:rsidRDefault="00FD7A62" w:rsidP="00FD7A62">
            <w:pPr>
              <w:rPr>
                <w:rFonts w:cstheme="minorHAnsi"/>
                <w:lang w:val="ro-RO"/>
              </w:rPr>
            </w:pPr>
            <w:r w:rsidRPr="00FD7A62">
              <w:rPr>
                <w:rFonts w:cstheme="minorHAnsi"/>
                <w:lang w:val="ro-RO"/>
              </w:rPr>
              <w:lastRenderedPageBreak/>
              <w:t> </w:t>
            </w:r>
          </w:p>
        </w:tc>
        <w:tc>
          <w:tcPr>
            <w:tcW w:w="1333" w:type="dxa"/>
            <w:vMerge/>
            <w:hideMark/>
          </w:tcPr>
          <w:p w14:paraId="3201FB47" w14:textId="77777777" w:rsidR="00FD7A62" w:rsidRPr="00FD7A62" w:rsidRDefault="00FD7A62">
            <w:pPr>
              <w:rPr>
                <w:rFonts w:cstheme="minorHAnsi"/>
                <w:lang w:val="ro-RO"/>
              </w:rPr>
            </w:pPr>
          </w:p>
        </w:tc>
        <w:tc>
          <w:tcPr>
            <w:tcW w:w="1043" w:type="dxa"/>
            <w:hideMark/>
          </w:tcPr>
          <w:p w14:paraId="11119555" w14:textId="77777777" w:rsidR="00FD7A62" w:rsidRPr="00FD7A62" w:rsidRDefault="00FD7A62" w:rsidP="00FD7A62">
            <w:pPr>
              <w:rPr>
                <w:rFonts w:cstheme="minorHAnsi"/>
                <w:lang w:val="ro-RO"/>
              </w:rPr>
            </w:pPr>
            <w:r w:rsidRPr="00FD7A62">
              <w:rPr>
                <w:rFonts w:cstheme="minorHAnsi"/>
                <w:lang w:val="ro-RO"/>
              </w:rPr>
              <w:t>e-mail transmis 09.11.2021</w:t>
            </w:r>
          </w:p>
        </w:tc>
        <w:tc>
          <w:tcPr>
            <w:tcW w:w="1433" w:type="dxa"/>
            <w:hideMark/>
          </w:tcPr>
          <w:p w14:paraId="6A9A9CBE" w14:textId="77777777" w:rsidR="00FD7A62" w:rsidRPr="00FD7A62" w:rsidRDefault="00FD7A62" w:rsidP="00FD7A62">
            <w:pPr>
              <w:rPr>
                <w:rFonts w:cstheme="minorHAnsi"/>
                <w:lang w:val="ro-RO"/>
              </w:rPr>
            </w:pPr>
            <w:r w:rsidRPr="00FD7A62">
              <w:rPr>
                <w:rFonts w:cstheme="minorHAnsi"/>
                <w:lang w:val="ro-RO"/>
              </w:rPr>
              <w:t>1051/AM/10.11.2021</w:t>
            </w:r>
          </w:p>
        </w:tc>
        <w:tc>
          <w:tcPr>
            <w:tcW w:w="4950" w:type="dxa"/>
            <w:hideMark/>
          </w:tcPr>
          <w:p w14:paraId="487C0E13" w14:textId="7572BAA0" w:rsidR="00FD7A62" w:rsidRPr="00FD7A62" w:rsidRDefault="00FD7A62" w:rsidP="00B907F3">
            <w:pPr>
              <w:spacing w:after="160"/>
              <w:jc w:val="both"/>
              <w:rPr>
                <w:rFonts w:cstheme="minorHAnsi"/>
                <w:lang w:val="ro-RO"/>
              </w:rPr>
            </w:pPr>
            <w:r w:rsidRPr="00FD7A62">
              <w:rPr>
                <w:rFonts w:cstheme="minorHAnsi"/>
                <w:lang w:val="ro-RO"/>
              </w:rPr>
              <w:t xml:space="preserve">Revin cu o a 2a observație/propunere in legatura cu </w:t>
            </w:r>
            <w:r w:rsidRPr="00FD7A62">
              <w:rPr>
                <w:rFonts w:cstheme="minorHAnsi"/>
                <w:b/>
                <w:bCs/>
                <w:u w:val="single"/>
                <w:lang w:val="ro-RO"/>
              </w:rPr>
              <w:t>ghidul PORSM</w:t>
            </w:r>
            <w:r w:rsidRPr="00FD7A62">
              <w:rPr>
                <w:rFonts w:cstheme="minorHAnsi"/>
                <w:lang w:val="ro-RO"/>
              </w:rPr>
              <w:t xml:space="preserve"> :</w:t>
            </w:r>
            <w:r w:rsidRPr="00FD7A62">
              <w:rPr>
                <w:rFonts w:cstheme="minorHAnsi"/>
                <w:lang w:val="ro-RO"/>
              </w:rPr>
              <w:br/>
              <w:t>Prioritatea 1, OS: a(ii) Valorificarea avantajelor digitalizării, în beneficiul cetățenilor, al companiilor, al organizațiilor de cercetare și al autorităților publice, are listate ca potentiali beneficiari doar institutiile publice:</w:t>
            </w:r>
            <w:r w:rsidRPr="00FD7A62">
              <w:rPr>
                <w:rFonts w:cstheme="minorHAnsi"/>
                <w:lang w:val="ro-RO"/>
              </w:rPr>
              <w:br/>
              <w:t>Din cate inteleg domeniilde RIS3 care vor fi finantate prin  Prioritatea 1, OS a(ii) vor fi localitatile inteligente si TIC (pagina 31 din ghidul PORSM versiunea 3).</w:t>
            </w:r>
            <w:r w:rsidRPr="00FD7A62">
              <w:rPr>
                <w:rFonts w:cstheme="minorHAnsi"/>
                <w:lang w:val="ro-RO"/>
              </w:rPr>
              <w:br/>
              <w:t>In acelasi timp, in strategia de specializare inteligenta a SM, la portofoliul de proiecte sunt mai multe companii care au depus fise de proiect pe domeniul TIC din RIS3.</w:t>
            </w:r>
            <w:r w:rsidRPr="00FD7A62">
              <w:rPr>
                <w:rFonts w:cstheme="minorHAnsi"/>
                <w:lang w:val="ro-RO"/>
              </w:rPr>
              <w:br/>
              <w:t>Prin urmare proiectele depuse de IMM-uri pe domeniul TIC de specializare inteligenta RIS3 nu vor putea primi finantare din Prioritatea 1, OS a(ii) care inteleg ca finantaeaza domeniul TIC.</w:t>
            </w:r>
            <w:r w:rsidRPr="00FD7A62">
              <w:rPr>
                <w:rFonts w:cstheme="minorHAnsi"/>
                <w:lang w:val="ro-RO"/>
              </w:rPr>
              <w:br/>
              <w:t>Propunerea noastra este ca prioritatea 1, OS a(ii) sa permita la beneficiari si IMM-urie, conform procesului de descoperire antreprenoriala desfasurat de ADRSM.</w:t>
            </w:r>
          </w:p>
        </w:tc>
        <w:tc>
          <w:tcPr>
            <w:tcW w:w="4593" w:type="dxa"/>
            <w:hideMark/>
          </w:tcPr>
          <w:p w14:paraId="5A34BBB4" w14:textId="105E455C" w:rsidR="00FD7A62" w:rsidRPr="00FD7A62" w:rsidRDefault="00FD7A62" w:rsidP="00B907F3">
            <w:pPr>
              <w:spacing w:after="160"/>
              <w:jc w:val="both"/>
              <w:rPr>
                <w:rFonts w:cstheme="minorHAnsi"/>
                <w:lang w:val="ro-RO"/>
              </w:rPr>
            </w:pPr>
            <w:r w:rsidRPr="00FD7A62">
              <w:rPr>
                <w:rFonts w:cstheme="minorHAnsi"/>
                <w:lang w:val="ro-RO"/>
              </w:rPr>
              <w:t xml:space="preserve">Precizăm că Fisele din portofoliul de proiecte al Strategiei de Specializare Inteligenta a Regiunii Sud-Muntenia, inclusiv cele din domeniul TIC, vor putea fi propuse spre </w:t>
            </w:r>
            <w:r w:rsidR="00A0528B" w:rsidRPr="00FD7A62">
              <w:rPr>
                <w:rFonts w:cstheme="minorHAnsi"/>
                <w:lang w:val="ro-RO"/>
              </w:rPr>
              <w:t>finanțare</w:t>
            </w:r>
            <w:r w:rsidRPr="00FD7A62">
              <w:rPr>
                <w:rFonts w:cstheme="minorHAnsi"/>
                <w:lang w:val="ro-RO"/>
              </w:rPr>
              <w:t xml:space="preserve"> prin </w:t>
            </w:r>
            <w:r w:rsidRPr="00FD7A62">
              <w:rPr>
                <w:rFonts w:cstheme="minorHAnsi"/>
                <w:i/>
                <w:iCs/>
                <w:lang w:val="ro-RO"/>
              </w:rPr>
              <w:t>Obiectivul Specific a(i) Dezvoltarea și creșterea capacităților de cercetare și inovare și adoptarea tehnologiilor avansate</w:t>
            </w:r>
            <w:r w:rsidRPr="00FD7A62">
              <w:rPr>
                <w:rFonts w:cstheme="minorHAnsi"/>
                <w:lang w:val="ro-RO"/>
              </w:rPr>
              <w:t xml:space="preserve"> și </w:t>
            </w:r>
            <w:r w:rsidRPr="00FD7A62">
              <w:rPr>
                <w:rFonts w:cstheme="minorHAnsi"/>
                <w:i/>
                <w:iCs/>
                <w:lang w:val="ro-RO"/>
              </w:rPr>
              <w:t>Obiectivul Specific a(iv) Dezvoltarea competențelor pentru specializare inteligentă, tranziție industrială și antreprenoriat</w:t>
            </w:r>
            <w:r w:rsidRPr="00FD7A62">
              <w:rPr>
                <w:rFonts w:cstheme="minorHAnsi"/>
                <w:lang w:val="ro-RO"/>
              </w:rPr>
              <w:t xml:space="preserve">, acțiunile indicative sprijinite prin aceste obiective specifice fiind dedicate </w:t>
            </w:r>
            <w:r w:rsidR="00A0528B" w:rsidRPr="00FD7A62">
              <w:rPr>
                <w:rFonts w:cstheme="minorHAnsi"/>
                <w:lang w:val="ro-RO"/>
              </w:rPr>
              <w:t>finanțării</w:t>
            </w:r>
            <w:r w:rsidRPr="00FD7A62">
              <w:rPr>
                <w:rFonts w:cstheme="minorHAnsi"/>
                <w:lang w:val="ro-RO"/>
              </w:rPr>
              <w:t xml:space="preserve"> ideilor de proiecte care se </w:t>
            </w:r>
            <w:r w:rsidR="00A0528B" w:rsidRPr="00FD7A62">
              <w:rPr>
                <w:rFonts w:cstheme="minorHAnsi"/>
                <w:lang w:val="ro-RO"/>
              </w:rPr>
              <w:t>încadrează</w:t>
            </w:r>
            <w:r w:rsidRPr="00FD7A62">
              <w:rPr>
                <w:rFonts w:cstheme="minorHAnsi"/>
                <w:lang w:val="ro-RO"/>
              </w:rPr>
              <w:t xml:space="preserve"> în domeniile de specializare inteligenta identificate la nivelul regiunii Sud-Muntenia.</w:t>
            </w:r>
            <w:r w:rsidRPr="00FD7A62">
              <w:rPr>
                <w:rFonts w:cstheme="minorHAnsi"/>
                <w:lang w:val="ro-RO"/>
              </w:rPr>
              <w:br/>
              <w:t xml:space="preserve">În plus, proiectele ce vizează digitalizarea IMM-urilor și care nu sunt încadrate în domeniile Strategiei de Specializare Inteligenta a Regiunii Sud-Muntenia, pot fi depuse în cadrul </w:t>
            </w:r>
            <w:r w:rsidRPr="00FD7A62">
              <w:rPr>
                <w:rFonts w:cstheme="minorHAnsi"/>
                <w:i/>
                <w:iCs/>
                <w:lang w:val="ro-RO"/>
              </w:rPr>
              <w:t>obiectivului specific a(iii) Intensificarea creșterii durabile și a competitivității IMM-urilor și crearea de locuri de muncă în cadrul IMM-urilor, inclusiv prin investiții productive</w:t>
            </w:r>
            <w:r w:rsidRPr="00FD7A62">
              <w:rPr>
                <w:rFonts w:cstheme="minorHAnsi"/>
                <w:lang w:val="ro-RO"/>
              </w:rPr>
              <w:t xml:space="preserve">. </w:t>
            </w:r>
          </w:p>
        </w:tc>
      </w:tr>
      <w:tr w:rsidR="00FD7A62" w:rsidRPr="00FD7A62" w14:paraId="72D3734B" w14:textId="77777777" w:rsidTr="00931287">
        <w:trPr>
          <w:trHeight w:val="4032"/>
        </w:trPr>
        <w:tc>
          <w:tcPr>
            <w:tcW w:w="596" w:type="dxa"/>
            <w:noWrap/>
            <w:hideMark/>
          </w:tcPr>
          <w:p w14:paraId="29607714" w14:textId="77777777" w:rsidR="00FD7A62" w:rsidRPr="00FD7A62" w:rsidRDefault="00FD7A62" w:rsidP="00FD7A62">
            <w:pPr>
              <w:rPr>
                <w:rFonts w:cstheme="minorHAnsi"/>
                <w:lang w:val="ro-RO"/>
              </w:rPr>
            </w:pPr>
            <w:r w:rsidRPr="00FD7A62">
              <w:rPr>
                <w:rFonts w:cstheme="minorHAnsi"/>
                <w:lang w:val="ro-RO"/>
              </w:rPr>
              <w:lastRenderedPageBreak/>
              <w:t>3</w:t>
            </w:r>
          </w:p>
        </w:tc>
        <w:tc>
          <w:tcPr>
            <w:tcW w:w="1333" w:type="dxa"/>
            <w:hideMark/>
          </w:tcPr>
          <w:p w14:paraId="74C51407" w14:textId="77777777" w:rsidR="00FD7A62" w:rsidRPr="00FD7A62" w:rsidRDefault="00FD7A62" w:rsidP="00FD7A62">
            <w:pPr>
              <w:rPr>
                <w:rFonts w:cstheme="minorHAnsi"/>
                <w:lang w:val="ro-RO"/>
              </w:rPr>
            </w:pPr>
            <w:r w:rsidRPr="00FD7A62">
              <w:rPr>
                <w:rFonts w:cstheme="minorHAnsi"/>
                <w:lang w:val="ro-RO"/>
              </w:rPr>
              <w:t>MINISTERUL AFACERILOR INTERNE</w:t>
            </w:r>
            <w:r w:rsidRPr="00FD7A62">
              <w:rPr>
                <w:rFonts w:cstheme="minorHAnsi"/>
                <w:lang w:val="ro-RO"/>
              </w:rPr>
              <w:br/>
              <w:t>DIRECȚIA GENERALĂ DE PROTECȚIE INTERNĂ</w:t>
            </w:r>
          </w:p>
        </w:tc>
        <w:tc>
          <w:tcPr>
            <w:tcW w:w="1043" w:type="dxa"/>
            <w:hideMark/>
          </w:tcPr>
          <w:p w14:paraId="479E419C" w14:textId="77777777" w:rsidR="00FD7A62" w:rsidRPr="00FD7A62" w:rsidRDefault="00FD7A62" w:rsidP="00FD7A62">
            <w:pPr>
              <w:rPr>
                <w:rFonts w:cstheme="minorHAnsi"/>
                <w:lang w:val="ro-RO"/>
              </w:rPr>
            </w:pPr>
            <w:r w:rsidRPr="00FD7A62">
              <w:rPr>
                <w:rFonts w:cstheme="minorHAnsi"/>
                <w:lang w:val="ro-RO"/>
              </w:rPr>
              <w:t>e-mail transmis 05.11.2021</w:t>
            </w:r>
          </w:p>
        </w:tc>
        <w:tc>
          <w:tcPr>
            <w:tcW w:w="1433" w:type="dxa"/>
            <w:hideMark/>
          </w:tcPr>
          <w:p w14:paraId="1D47DB42" w14:textId="77777777" w:rsidR="00FD7A62" w:rsidRPr="00FD7A62" w:rsidRDefault="00FD7A62" w:rsidP="00FD7A62">
            <w:pPr>
              <w:rPr>
                <w:rFonts w:cstheme="minorHAnsi"/>
                <w:lang w:val="ro-RO"/>
              </w:rPr>
            </w:pPr>
            <w:r w:rsidRPr="00FD7A62">
              <w:rPr>
                <w:rFonts w:cstheme="minorHAnsi"/>
                <w:lang w:val="ro-RO"/>
              </w:rPr>
              <w:t>1041/AM/05.11.2021</w:t>
            </w:r>
          </w:p>
        </w:tc>
        <w:tc>
          <w:tcPr>
            <w:tcW w:w="4950" w:type="dxa"/>
            <w:hideMark/>
          </w:tcPr>
          <w:p w14:paraId="68B347CB" w14:textId="4D6E7014" w:rsidR="00FD7A62" w:rsidRPr="00FD7A62" w:rsidRDefault="00FD7A62" w:rsidP="00B907F3">
            <w:pPr>
              <w:jc w:val="both"/>
              <w:rPr>
                <w:rFonts w:cstheme="minorHAnsi"/>
                <w:lang w:val="ro-RO"/>
              </w:rPr>
            </w:pPr>
            <w:r w:rsidRPr="00FD7A62">
              <w:rPr>
                <w:rFonts w:cstheme="minorHAnsi"/>
                <w:lang w:val="ro-RO"/>
              </w:rPr>
              <w:t xml:space="preserve">Având în vedere consultarea publică lansată pentru Programul Operațional Regional Sud- Muntenia 2021-2027 versiunea 3 octombrie 2021, în urma analizei documentului de referință și în considerarea localizării Centrului de Recuperare și Refacere a Capacității de Muncă Brădetu în aria geografică din competența ADR Sud Muntenia (jud. Argeș), aflat în administrarea DGPI, considerăm necesară </w:t>
            </w:r>
            <w:r w:rsidRPr="00FD7A62">
              <w:rPr>
                <w:rFonts w:cstheme="minorHAnsi"/>
                <w:b/>
                <w:bCs/>
                <w:u w:val="single"/>
                <w:lang w:val="ro-RO"/>
              </w:rPr>
              <w:t>completarea informațiilor prezentate la OST 5 - Creșterea atractivității regiunii prin investiții în infrastructura de turism și patrimoniu cultural, pagina 11.</w:t>
            </w:r>
            <w:r w:rsidRPr="00FD7A62">
              <w:rPr>
                <w:rFonts w:cstheme="minorHAnsi"/>
                <w:lang w:val="ro-RO"/>
              </w:rPr>
              <w:br/>
              <w:t xml:space="preserve">În acest context, vă propunem următoarele completări/modificări ale Programului: </w:t>
            </w:r>
            <w:r w:rsidRPr="00FD7A62">
              <w:rPr>
                <w:rFonts w:cstheme="minorHAnsi"/>
                <w:lang w:val="ro-RO"/>
              </w:rPr>
              <w:br/>
              <w:t>• Completarea paragrafului cu privire la inițiativele susținute în cadrul OST 5 cu sintagma ”[...] RSM prin dezvoltarea și modernizarea infrastructurii turistice”,</w:t>
            </w:r>
            <w:r w:rsidRPr="00FD7A62">
              <w:rPr>
                <w:rFonts w:cstheme="minorHAnsi"/>
                <w:lang w:val="ro-RO"/>
              </w:rPr>
              <w:br/>
              <w:t>• Completarea paragrafului cu privire la intervențiile finanțate în cadrul OST 5 cu sintagma ”[...] reabilitării și modernizării infrastructurii turistice [...] ”.</w:t>
            </w:r>
          </w:p>
        </w:tc>
        <w:tc>
          <w:tcPr>
            <w:tcW w:w="4593" w:type="dxa"/>
            <w:noWrap/>
            <w:hideMark/>
          </w:tcPr>
          <w:p w14:paraId="40D62843" w14:textId="77777777" w:rsidR="00FD7A62" w:rsidRPr="00FD7A62" w:rsidRDefault="00FD7A62" w:rsidP="00B907F3">
            <w:pPr>
              <w:jc w:val="both"/>
              <w:rPr>
                <w:rFonts w:cstheme="minorHAnsi"/>
                <w:lang w:val="ro-RO"/>
              </w:rPr>
            </w:pPr>
            <w:r w:rsidRPr="00FD7A62">
              <w:rPr>
                <w:rFonts w:cstheme="minorHAnsi"/>
                <w:lang w:val="ro-RO"/>
              </w:rPr>
              <w:t>În cadrul Programului Operațional Regional Sud-Muntenia 2021-2027, infrastructura de turism este sprijinită prin intermediul acțiunii indicative: "</w:t>
            </w:r>
            <w:r w:rsidRPr="00FD7A62">
              <w:rPr>
                <w:rFonts w:cstheme="minorHAnsi"/>
                <w:i/>
                <w:iCs/>
                <w:lang w:val="ro-RO"/>
              </w:rPr>
              <w:t>Construcția, reabilitarea, modernizarea, extinderea și dotarea infrastructurii de turism și/sau de agreement în vederea punerii în valoare a patrimoniului turistic natural</w:t>
            </w:r>
            <w:r w:rsidRPr="00FD7A62">
              <w:rPr>
                <w:rFonts w:cstheme="minorHAnsi"/>
                <w:lang w:val="ro-RO"/>
              </w:rPr>
              <w:t xml:space="preserve">" din cadrul Priorității 6 O regiune atractivă. </w:t>
            </w:r>
          </w:p>
        </w:tc>
      </w:tr>
      <w:tr w:rsidR="00FD7A62" w:rsidRPr="00FD7A62" w14:paraId="1BE1ADC8" w14:textId="77777777" w:rsidTr="00931287">
        <w:trPr>
          <w:trHeight w:val="2400"/>
        </w:trPr>
        <w:tc>
          <w:tcPr>
            <w:tcW w:w="596" w:type="dxa"/>
            <w:vMerge w:val="restart"/>
            <w:hideMark/>
          </w:tcPr>
          <w:p w14:paraId="34FB0619" w14:textId="77777777" w:rsidR="00FD7A62" w:rsidRPr="00FD7A62" w:rsidRDefault="00FD7A62" w:rsidP="00FD7A62">
            <w:pPr>
              <w:rPr>
                <w:rFonts w:cstheme="minorHAnsi"/>
                <w:lang w:val="ro-RO"/>
              </w:rPr>
            </w:pPr>
            <w:r w:rsidRPr="00FD7A62">
              <w:rPr>
                <w:rFonts w:cstheme="minorHAnsi"/>
                <w:lang w:val="ro-RO"/>
              </w:rPr>
              <w:t>4</w:t>
            </w:r>
          </w:p>
        </w:tc>
        <w:tc>
          <w:tcPr>
            <w:tcW w:w="1333" w:type="dxa"/>
            <w:vMerge w:val="restart"/>
            <w:hideMark/>
          </w:tcPr>
          <w:p w14:paraId="1D25BEAE" w14:textId="77777777" w:rsidR="00FD7A62" w:rsidRPr="00FD7A62" w:rsidRDefault="00FD7A62" w:rsidP="00FD7A62">
            <w:pPr>
              <w:rPr>
                <w:rFonts w:cstheme="minorHAnsi"/>
                <w:lang w:val="ro-RO"/>
              </w:rPr>
            </w:pPr>
            <w:r w:rsidRPr="00FD7A62">
              <w:rPr>
                <w:rFonts w:cstheme="minorHAnsi"/>
                <w:lang w:val="ro-RO"/>
              </w:rPr>
              <w:t>MINISTERUL AFACERILOR INTERNE</w:t>
            </w:r>
            <w:r w:rsidRPr="00FD7A62">
              <w:rPr>
                <w:rFonts w:cstheme="minorHAnsi"/>
                <w:lang w:val="ro-RO"/>
              </w:rPr>
              <w:br/>
              <w:t xml:space="preserve">Direcția Fonduri Externe Nerambursabile </w:t>
            </w:r>
          </w:p>
        </w:tc>
        <w:tc>
          <w:tcPr>
            <w:tcW w:w="1043" w:type="dxa"/>
            <w:vMerge w:val="restart"/>
            <w:hideMark/>
          </w:tcPr>
          <w:p w14:paraId="4C10EBA2" w14:textId="77777777" w:rsidR="00FD7A62" w:rsidRPr="00FD7A62" w:rsidRDefault="00FD7A62" w:rsidP="00FD7A62">
            <w:pPr>
              <w:rPr>
                <w:rFonts w:cstheme="minorHAnsi"/>
                <w:lang w:val="ro-RO"/>
              </w:rPr>
            </w:pPr>
            <w:r w:rsidRPr="00FD7A62">
              <w:rPr>
                <w:rFonts w:cstheme="minorHAnsi"/>
                <w:lang w:val="ro-RO"/>
              </w:rPr>
              <w:t>e-mail transmis 26.11.2021 (adresa nr475402/26.11.2021)</w:t>
            </w:r>
          </w:p>
        </w:tc>
        <w:tc>
          <w:tcPr>
            <w:tcW w:w="1433" w:type="dxa"/>
            <w:vMerge w:val="restart"/>
            <w:hideMark/>
          </w:tcPr>
          <w:p w14:paraId="402C7833" w14:textId="77777777" w:rsidR="00FD7A62" w:rsidRPr="00FD7A62" w:rsidRDefault="00FD7A62" w:rsidP="00FD7A62">
            <w:pPr>
              <w:rPr>
                <w:rFonts w:cstheme="minorHAnsi"/>
                <w:lang w:val="ro-RO"/>
              </w:rPr>
            </w:pPr>
            <w:r w:rsidRPr="00FD7A62">
              <w:rPr>
                <w:rFonts w:cstheme="minorHAnsi"/>
                <w:lang w:val="ro-RO"/>
              </w:rPr>
              <w:t> </w:t>
            </w:r>
          </w:p>
        </w:tc>
        <w:tc>
          <w:tcPr>
            <w:tcW w:w="4950" w:type="dxa"/>
            <w:hideMark/>
          </w:tcPr>
          <w:p w14:paraId="050C07E9" w14:textId="77777777" w:rsidR="00FD7A62" w:rsidRPr="00FD7A62" w:rsidRDefault="00FD7A62" w:rsidP="00B907F3">
            <w:pPr>
              <w:jc w:val="both"/>
              <w:rPr>
                <w:rFonts w:cstheme="minorHAnsi"/>
                <w:lang w:val="ro-RO"/>
              </w:rPr>
            </w:pPr>
            <w:r w:rsidRPr="00FD7A62">
              <w:rPr>
                <w:rFonts w:cstheme="minorHAnsi"/>
                <w:b/>
                <w:bCs/>
                <w:u w:val="single"/>
                <w:lang w:val="ro-RO"/>
              </w:rPr>
              <w:t>1. Referitor la Prioritatea 2: O regiune cu orașe prietenoase cu mediul</w:t>
            </w:r>
            <w:r w:rsidRPr="00FD7A62">
              <w:rPr>
                <w:rFonts w:cstheme="minorHAnsi"/>
                <w:lang w:val="ro-RO"/>
              </w:rPr>
              <w:t>, obiectivul specific OS • b</w:t>
            </w:r>
            <w:r w:rsidRPr="00FD7A62">
              <w:rPr>
                <w:rFonts w:cstheme="minorHAnsi"/>
                <w:lang w:val="ro-RO"/>
              </w:rPr>
              <w:br/>
              <w:t>(i) Promovarea măsurilor de eficiență energetică și reducerea emisiilor de gaze cu efect de seră, propunem următoarele:</w:t>
            </w:r>
            <w:r w:rsidRPr="00FD7A62">
              <w:rPr>
                <w:rFonts w:cstheme="minorHAnsi"/>
                <w:lang w:val="ro-RO"/>
              </w:rPr>
              <w:br/>
              <w:t>la pag. 69, menționarea sediilor administrative apart,inând autorităților și instituțiilor publice centrale, după cum urmează: „D. Clădiri de birouri (sedii administrative apart,inând autorităților și instituțiilor publice centrale și locale)”;</w:t>
            </w:r>
            <w:r w:rsidRPr="00FD7A62">
              <w:rPr>
                <w:rFonts w:cstheme="minorHAnsi"/>
                <w:lang w:val="ro-RO"/>
              </w:rPr>
              <w:br/>
              <w:t xml:space="preserve">la pag. 70, eliminarea mențiunii discriminatorii potrivit căreia „vor avea prioritate la finanțare: (...) </w:t>
            </w:r>
            <w:r w:rsidRPr="00FD7A62">
              <w:rPr>
                <w:rFonts w:cstheme="minorHAnsi"/>
                <w:lang w:val="ro-RO"/>
              </w:rPr>
              <w:lastRenderedPageBreak/>
              <w:t>clădirile publice ce au documentații tehnice pregătite cu sprijinul inițiativei ELENA”. Precizăm faptul că, în cazul altor clădiri publice, elaborarea documentației tehnice pentru depunerea proiectelor în cadrul POR 2021-2027 se finanțează de la bugetul de stat. Finanțarea cu prioritate a proiectelor pentru care documentația tehnică este pregătită cu sprijinul unor instrumente de fnanțare externă nu asigură respectarea principiului egalității de tratament în procesul de accesare a fondurilor europene.</w:t>
            </w:r>
            <w:r w:rsidRPr="00FD7A62">
              <w:rPr>
                <w:rFonts w:cstheme="minorHAnsi"/>
                <w:lang w:val="ro-RO"/>
              </w:rPr>
              <w:br/>
              <w:t>la pag. 70, completarea Acțiunilor indicative cu următoarea măsură: „investiții în lucrări de consolidare a construcțiilor care prezintă risc seismic ridicat, însoțite de lucrări de creştere a eficienței energetice, pentru clădirile încadrate în clasele de importanță și expunere la cutremur1 I și II”;</w:t>
            </w:r>
            <w:r w:rsidRPr="00FD7A62">
              <w:rPr>
                <w:rFonts w:cstheme="minorHAnsi"/>
                <w:lang w:val="ro-RO"/>
              </w:rPr>
              <w:br/>
              <w:t>la pag. 71, completarea secțiunii Principalele grupuri țintă după cum urmează: „Autoritățile și instituțiile publice centrale și locale”, astfel încât în grupul țintă să fie incluși toți potențialii beneficiari ai fondurilor alocate pentru creşterea eficienței energetice a clădirilor publice, care își desfășoară activitatea în zona eligibilă, inclusiv serviciile publice deconcentrate ale ministerelor și ale altor organe de specialitate ale administrației publice centrale.</w:t>
            </w:r>
          </w:p>
        </w:tc>
        <w:tc>
          <w:tcPr>
            <w:tcW w:w="4593" w:type="dxa"/>
            <w:hideMark/>
          </w:tcPr>
          <w:p w14:paraId="39981EC8" w14:textId="77777777" w:rsidR="00FD7A62" w:rsidRPr="00FD7A62" w:rsidRDefault="00FD7A62" w:rsidP="00B907F3">
            <w:pPr>
              <w:jc w:val="both"/>
              <w:rPr>
                <w:rFonts w:cstheme="minorHAnsi"/>
                <w:lang w:val="ro-RO"/>
              </w:rPr>
            </w:pPr>
            <w:r w:rsidRPr="00FD7A62">
              <w:rPr>
                <w:rFonts w:cstheme="minorHAnsi"/>
                <w:lang w:val="ro-RO"/>
              </w:rPr>
              <w:lastRenderedPageBreak/>
              <w:t xml:space="preserve">1. </w:t>
            </w:r>
            <w:r w:rsidRPr="00FD7A62">
              <w:rPr>
                <w:rFonts w:cstheme="minorHAnsi"/>
                <w:b/>
                <w:bCs/>
                <w:lang w:val="ro-RO"/>
              </w:rPr>
              <w:t xml:space="preserve">Grupul țintă de la nivelul OS b(i) </w:t>
            </w:r>
            <w:r w:rsidRPr="00FD7A62">
              <w:rPr>
                <w:rFonts w:cstheme="minorHAnsi"/>
                <w:lang w:val="ro-RO"/>
              </w:rPr>
              <w:t xml:space="preserve">al POR SM 2021-2027 a fost stabilit și este corelat cu acțiunile indicative prevăzute în cadrul acestui OS. </w:t>
            </w:r>
            <w:r w:rsidRPr="00FD7A62">
              <w:rPr>
                <w:rFonts w:cstheme="minorHAnsi"/>
                <w:lang w:val="ro-RO"/>
              </w:rPr>
              <w:br/>
              <w:t xml:space="preserve">- În urma discuțiilor cu reprezentanții Ministerului Investițiilor și Proiectelor Europene privind demarcarea și complementaritatea dintre intervențiile sprijinite din Programul Operațional Regional Sud-Muntenia 2021-2027 și din Planul Național de Redresare și Reziliență, s-a stabilit că intervențiile care vizează eficiența energetică și reducerea emisiilor de gaze cu efect de seră în </w:t>
            </w:r>
            <w:r w:rsidRPr="00FD7A62">
              <w:rPr>
                <w:rFonts w:cstheme="minorHAnsi"/>
                <w:lang w:val="ro-RO"/>
              </w:rPr>
              <w:lastRenderedPageBreak/>
              <w:t>clădiri publice ce aparțin autorităților publice locale vor fi finanțate din POR, iar cele care vizează eficiența energetică și reducerea emisiilor de gaze cu efect de seră în clădiri publice ce aparțin autorităților publice centrale, vor fi finanțate din PNRR.</w:t>
            </w:r>
            <w:r w:rsidRPr="00FD7A62">
              <w:rPr>
                <w:rFonts w:cstheme="minorHAnsi"/>
                <w:lang w:val="ro-RO"/>
              </w:rPr>
              <w:br/>
              <w:t xml:space="preserve">- În ceea ce privește clădirile publice cu documentații tehnice pregătite cu sprijinul inițiativei ELENA, acestea vor fi sprijinite printr-un apel de proiecte dedicat. Totodată, pentru clădirile publice care nu au documentații tehnice pregătite cu sprijinul inițiativei ELENA, vor fi lansate apeluri de proiecte separate. </w:t>
            </w:r>
            <w:r w:rsidRPr="00FD7A62">
              <w:rPr>
                <w:rFonts w:cstheme="minorHAnsi"/>
                <w:lang w:val="ro-RO"/>
              </w:rPr>
              <w:br/>
              <w:t>- referitor la investițiile în lucrări de consolidare a construcțiilor care prezintă risc seismic ridicat, precizăm că prin POR Sud-Muntenia, vor fi eligibile și activități complementare, într-un procent de 30% din valoarea totală a proiectului.</w:t>
            </w:r>
          </w:p>
        </w:tc>
      </w:tr>
      <w:tr w:rsidR="00FD7A62" w:rsidRPr="00FD7A62" w14:paraId="7421E8D1" w14:textId="77777777" w:rsidTr="00931287">
        <w:trPr>
          <w:trHeight w:val="40"/>
        </w:trPr>
        <w:tc>
          <w:tcPr>
            <w:tcW w:w="596" w:type="dxa"/>
            <w:vMerge/>
            <w:hideMark/>
          </w:tcPr>
          <w:p w14:paraId="3BD4A44E" w14:textId="77777777" w:rsidR="00FD7A62" w:rsidRPr="00FD7A62" w:rsidRDefault="00FD7A62">
            <w:pPr>
              <w:rPr>
                <w:rFonts w:cstheme="minorHAnsi"/>
                <w:lang w:val="ro-RO"/>
              </w:rPr>
            </w:pPr>
          </w:p>
        </w:tc>
        <w:tc>
          <w:tcPr>
            <w:tcW w:w="1333" w:type="dxa"/>
            <w:vMerge/>
            <w:hideMark/>
          </w:tcPr>
          <w:p w14:paraId="67B00539" w14:textId="77777777" w:rsidR="00FD7A62" w:rsidRPr="00FD7A62" w:rsidRDefault="00FD7A62">
            <w:pPr>
              <w:rPr>
                <w:rFonts w:cstheme="minorHAnsi"/>
                <w:lang w:val="ro-RO"/>
              </w:rPr>
            </w:pPr>
          </w:p>
        </w:tc>
        <w:tc>
          <w:tcPr>
            <w:tcW w:w="1043" w:type="dxa"/>
            <w:vMerge/>
            <w:hideMark/>
          </w:tcPr>
          <w:p w14:paraId="66C54115" w14:textId="77777777" w:rsidR="00FD7A62" w:rsidRPr="00FD7A62" w:rsidRDefault="00FD7A62">
            <w:pPr>
              <w:rPr>
                <w:rFonts w:cstheme="minorHAnsi"/>
                <w:lang w:val="ro-RO"/>
              </w:rPr>
            </w:pPr>
          </w:p>
        </w:tc>
        <w:tc>
          <w:tcPr>
            <w:tcW w:w="1433" w:type="dxa"/>
            <w:vMerge/>
            <w:hideMark/>
          </w:tcPr>
          <w:p w14:paraId="385EB99E" w14:textId="77777777" w:rsidR="00FD7A62" w:rsidRPr="00FD7A62" w:rsidRDefault="00FD7A62">
            <w:pPr>
              <w:rPr>
                <w:rFonts w:cstheme="minorHAnsi"/>
                <w:lang w:val="ro-RO"/>
              </w:rPr>
            </w:pPr>
          </w:p>
        </w:tc>
        <w:tc>
          <w:tcPr>
            <w:tcW w:w="4950" w:type="dxa"/>
            <w:hideMark/>
          </w:tcPr>
          <w:p w14:paraId="2503A6F6" w14:textId="77777777" w:rsidR="00FD7A62" w:rsidRPr="00FD7A62" w:rsidRDefault="00FD7A62" w:rsidP="00B907F3">
            <w:pPr>
              <w:jc w:val="both"/>
              <w:rPr>
                <w:rFonts w:cstheme="minorHAnsi"/>
                <w:lang w:val="ro-RO"/>
              </w:rPr>
            </w:pPr>
            <w:r w:rsidRPr="00FD7A62">
              <w:rPr>
                <w:rFonts w:cstheme="minorHAnsi"/>
                <w:b/>
                <w:bCs/>
                <w:u w:val="single"/>
                <w:lang w:val="ro-RO"/>
              </w:rPr>
              <w:t>2. Referitor la Prioritatea 5. O regiune educată</w:t>
            </w:r>
            <w:r w:rsidRPr="00FD7A62">
              <w:rPr>
                <w:rFonts w:cstheme="minorHAnsi"/>
                <w:lang w:val="ro-RO"/>
              </w:rPr>
              <w:t>, obiectivul specific OS: d(ii) Îmbunătățirea accesului egal la servicii de calitate și inclusive în educație, formare și înv^!area pe tot parcursul vieții prin dezvoltarea infrastructurii accesibile, inclusiv prin promovarea rezilienței pentru educația și formarea la distanță și online, propunem următoarele:</w:t>
            </w:r>
            <w:r w:rsidRPr="00FD7A62">
              <w:rPr>
                <w:rFonts w:cstheme="minorHAnsi"/>
                <w:lang w:val="ro-RO"/>
              </w:rPr>
              <w:br/>
            </w:r>
            <w:r w:rsidRPr="00FD7A62">
              <w:rPr>
                <w:rFonts w:cstheme="minorHAnsi"/>
                <w:lang w:val="ro-RO"/>
              </w:rPr>
              <w:lastRenderedPageBreak/>
              <w:t>la pag. 116, completarea Acțiunilor indicative, după cum urmează:</w:t>
            </w:r>
            <w:r w:rsidRPr="00FD7A62">
              <w:rPr>
                <w:rFonts w:cstheme="minorHAnsi"/>
                <w:lang w:val="ro-RO"/>
              </w:rPr>
              <w:br/>
              <w:t>„Construirea/reabiIitarea/modernizarea/consoIidarea/extinderea și dotarea infrastructurii sportive/taberelor de pregătire asociate unităților de învâțământ publice, inclusiv a centrelor de pregătire sportivă stabilite pe lângă școli sau instituții de învățământ publice”.</w:t>
            </w:r>
          </w:p>
        </w:tc>
        <w:tc>
          <w:tcPr>
            <w:tcW w:w="4593" w:type="dxa"/>
            <w:hideMark/>
          </w:tcPr>
          <w:p w14:paraId="1828E690" w14:textId="77777777" w:rsidR="00FD7A62" w:rsidRPr="00FD7A62" w:rsidRDefault="00FD7A62" w:rsidP="00B907F3">
            <w:pPr>
              <w:jc w:val="both"/>
              <w:rPr>
                <w:rFonts w:cstheme="minorHAnsi"/>
                <w:lang w:val="ro-RO"/>
              </w:rPr>
            </w:pPr>
            <w:r w:rsidRPr="00FD7A62">
              <w:rPr>
                <w:rFonts w:cstheme="minorHAnsi"/>
                <w:lang w:val="ro-RO"/>
              </w:rPr>
              <w:lastRenderedPageBreak/>
              <w:t>2. În cadrul Programul Operațional Regional Sud-Muntenia 2021-2027 reabilitarea, modernizarea, extinderea și dotarea taberelor de elevi și preșcolari/centrelor multidisciplinare de tineret, se va realiza prin intermediul Priorității 6 - O  regiune atractivă.</w:t>
            </w:r>
          </w:p>
        </w:tc>
      </w:tr>
      <w:tr w:rsidR="00FD7A62" w:rsidRPr="00FD7A62" w14:paraId="78840955" w14:textId="77777777" w:rsidTr="00931287">
        <w:trPr>
          <w:trHeight w:val="4320"/>
        </w:trPr>
        <w:tc>
          <w:tcPr>
            <w:tcW w:w="596" w:type="dxa"/>
            <w:vMerge/>
            <w:hideMark/>
          </w:tcPr>
          <w:p w14:paraId="53ED9734" w14:textId="77777777" w:rsidR="00FD7A62" w:rsidRPr="00FD7A62" w:rsidRDefault="00FD7A62">
            <w:pPr>
              <w:rPr>
                <w:rFonts w:cstheme="minorHAnsi"/>
                <w:lang w:val="ro-RO"/>
              </w:rPr>
            </w:pPr>
          </w:p>
        </w:tc>
        <w:tc>
          <w:tcPr>
            <w:tcW w:w="1333" w:type="dxa"/>
            <w:vMerge/>
            <w:hideMark/>
          </w:tcPr>
          <w:p w14:paraId="5CCE9AB4" w14:textId="77777777" w:rsidR="00FD7A62" w:rsidRPr="00FD7A62" w:rsidRDefault="00FD7A62">
            <w:pPr>
              <w:rPr>
                <w:rFonts w:cstheme="minorHAnsi"/>
                <w:lang w:val="ro-RO"/>
              </w:rPr>
            </w:pPr>
          </w:p>
        </w:tc>
        <w:tc>
          <w:tcPr>
            <w:tcW w:w="1043" w:type="dxa"/>
            <w:vMerge/>
            <w:hideMark/>
          </w:tcPr>
          <w:p w14:paraId="7D11CC0B" w14:textId="77777777" w:rsidR="00FD7A62" w:rsidRPr="00FD7A62" w:rsidRDefault="00FD7A62">
            <w:pPr>
              <w:rPr>
                <w:rFonts w:cstheme="minorHAnsi"/>
                <w:lang w:val="ro-RO"/>
              </w:rPr>
            </w:pPr>
          </w:p>
        </w:tc>
        <w:tc>
          <w:tcPr>
            <w:tcW w:w="1433" w:type="dxa"/>
            <w:vMerge/>
            <w:hideMark/>
          </w:tcPr>
          <w:p w14:paraId="2ECDCE57" w14:textId="77777777" w:rsidR="00FD7A62" w:rsidRPr="00FD7A62" w:rsidRDefault="00FD7A62">
            <w:pPr>
              <w:rPr>
                <w:rFonts w:cstheme="minorHAnsi"/>
                <w:lang w:val="ro-RO"/>
              </w:rPr>
            </w:pPr>
          </w:p>
        </w:tc>
        <w:tc>
          <w:tcPr>
            <w:tcW w:w="4950" w:type="dxa"/>
            <w:hideMark/>
          </w:tcPr>
          <w:p w14:paraId="28719B53" w14:textId="77777777" w:rsidR="00FD7A62" w:rsidRPr="00FD7A62" w:rsidRDefault="00FD7A62" w:rsidP="00B907F3">
            <w:pPr>
              <w:jc w:val="both"/>
              <w:rPr>
                <w:rFonts w:cstheme="minorHAnsi"/>
                <w:lang w:val="ro-RO"/>
              </w:rPr>
            </w:pPr>
            <w:r w:rsidRPr="00FD7A62">
              <w:rPr>
                <w:rFonts w:cstheme="minorHAnsi"/>
                <w:b/>
                <w:bCs/>
                <w:u w:val="single"/>
                <w:lang w:val="ro-RO"/>
              </w:rPr>
              <w:t>3. Referitor la Prioritatea 6: 0 regiune atractivă</w:t>
            </w:r>
            <w:r w:rsidRPr="00FD7A62">
              <w:rPr>
                <w:rFonts w:cstheme="minorHAnsi"/>
                <w:lang w:val="ro-RO"/>
              </w:rPr>
              <w:t>, obiectivele  specifice OS e (i) Promovarea</w:t>
            </w:r>
            <w:r w:rsidRPr="00FD7A62">
              <w:rPr>
                <w:rFonts w:cstheme="minorHAnsi"/>
                <w:lang w:val="ro-RO"/>
              </w:rPr>
              <w:br/>
              <w:t>dezvoltării integrate și incluzive în domeniul social, economie și al mediului, precum și a culturii, patrimoniului natural, a turismului durabil și a securității în zonele urbane și OS e</w:t>
            </w:r>
            <w:r w:rsidRPr="00FD7A62">
              <w:rPr>
                <w:rFonts w:cstheme="minorHAnsi"/>
                <w:lang w:val="ro-RO"/>
              </w:rPr>
              <w:br/>
              <w:t>(ii) Promovarea dezvoltării locale integrate și incluzive în domeniul social, economie și al mediului, în domeniul culturii, al patrimoniului natural, al turismului durabil, precum și a securității in alte zone decât zonele urbane, propunem următoarele:</w:t>
            </w:r>
            <w:r w:rsidRPr="00FD7A62">
              <w:rPr>
                <w:rFonts w:cstheme="minorHAnsi"/>
                <w:lang w:val="ro-RO"/>
              </w:rPr>
              <w:br/>
              <w:t>la pag. 128, completarea Acțiunilor indicative, după cum urmează: „Reabilitarea, modernizarea, extinderea și dotarea taberelor de studenți, elevi și preșcolari / taberelor de pregătire / instrucție / centrelor multidisciplinare de tineret”;</w:t>
            </w:r>
            <w:r w:rsidRPr="00FD7A62">
              <w:rPr>
                <w:rFonts w:cstheme="minorHAnsi"/>
                <w:lang w:val="ro-RO"/>
              </w:rPr>
              <w:br/>
              <w:t>la pag. 140, completarea AcțiUni/or indicafive, după cum urmează: „Reabilitarea, modernizarea, extinderea și dotarea taberelor de studenți, elevi și preșcolari / taberelor de pregătire I instrucție / centrelor multidisciplinare de tineret”.</w:t>
            </w:r>
          </w:p>
        </w:tc>
        <w:tc>
          <w:tcPr>
            <w:tcW w:w="4593" w:type="dxa"/>
            <w:hideMark/>
          </w:tcPr>
          <w:p w14:paraId="29609014" w14:textId="77777777" w:rsidR="00FD7A62" w:rsidRPr="00FD7A62" w:rsidRDefault="00FD7A62" w:rsidP="00B907F3">
            <w:pPr>
              <w:jc w:val="both"/>
              <w:rPr>
                <w:rFonts w:cstheme="minorHAnsi"/>
                <w:lang w:val="ro-RO"/>
              </w:rPr>
            </w:pPr>
            <w:r w:rsidRPr="00FD7A62">
              <w:rPr>
                <w:rFonts w:cstheme="minorHAnsi"/>
                <w:lang w:val="ro-RO"/>
              </w:rPr>
              <w:t xml:space="preserve">3 - În cadrul Programul Operațional Regional Sud-Muntenia 2021-2027 prin Prioritatea 6 - O  regiune atractivă vor fi sprijinite  reabilitarea, modernizarea, extinderea și dotarea taberelor de elevi și preșcolari/centrelor multidisciplinare de tineret, cu scop turistic, deschise publicului larg, avînd în vedere faptul că indicatorul comun de rezultat pentru această prioritate este: </w:t>
            </w:r>
            <w:r w:rsidRPr="00FD7A62">
              <w:rPr>
                <w:rFonts w:cstheme="minorHAnsi"/>
                <w:i/>
                <w:iCs/>
                <w:lang w:val="ro-RO"/>
              </w:rPr>
              <w:t>Număr de vizitatori ai siturilor culturale și turistice care beneficiază de sprijin</w:t>
            </w:r>
            <w:r w:rsidRPr="00FD7A62">
              <w:rPr>
                <w:rFonts w:cstheme="minorHAnsi"/>
                <w:lang w:val="ro-RO"/>
              </w:rPr>
              <w:t xml:space="preserve">. </w:t>
            </w:r>
          </w:p>
        </w:tc>
      </w:tr>
      <w:tr w:rsidR="00FD7A62" w:rsidRPr="00FD7A62" w14:paraId="2B6DD769" w14:textId="77777777" w:rsidTr="00FD4AE0">
        <w:tc>
          <w:tcPr>
            <w:tcW w:w="596" w:type="dxa"/>
            <w:vMerge/>
            <w:hideMark/>
          </w:tcPr>
          <w:p w14:paraId="7C66F950" w14:textId="77777777" w:rsidR="00FD7A62" w:rsidRPr="00FD7A62" w:rsidRDefault="00FD7A62">
            <w:pPr>
              <w:rPr>
                <w:rFonts w:cstheme="minorHAnsi"/>
                <w:lang w:val="ro-RO"/>
              </w:rPr>
            </w:pPr>
          </w:p>
        </w:tc>
        <w:tc>
          <w:tcPr>
            <w:tcW w:w="1333" w:type="dxa"/>
            <w:vMerge/>
            <w:hideMark/>
          </w:tcPr>
          <w:p w14:paraId="15776096" w14:textId="77777777" w:rsidR="00FD7A62" w:rsidRPr="00FD7A62" w:rsidRDefault="00FD7A62">
            <w:pPr>
              <w:rPr>
                <w:rFonts w:cstheme="minorHAnsi"/>
                <w:lang w:val="ro-RO"/>
              </w:rPr>
            </w:pPr>
          </w:p>
        </w:tc>
        <w:tc>
          <w:tcPr>
            <w:tcW w:w="1043" w:type="dxa"/>
            <w:vMerge/>
            <w:hideMark/>
          </w:tcPr>
          <w:p w14:paraId="1FC10AF9" w14:textId="77777777" w:rsidR="00FD7A62" w:rsidRPr="00FD7A62" w:rsidRDefault="00FD7A62">
            <w:pPr>
              <w:rPr>
                <w:rFonts w:cstheme="minorHAnsi"/>
                <w:lang w:val="ro-RO"/>
              </w:rPr>
            </w:pPr>
          </w:p>
        </w:tc>
        <w:tc>
          <w:tcPr>
            <w:tcW w:w="1433" w:type="dxa"/>
            <w:vMerge/>
            <w:hideMark/>
          </w:tcPr>
          <w:p w14:paraId="4BCEB9F0" w14:textId="77777777" w:rsidR="00FD7A62" w:rsidRPr="00FD7A62" w:rsidRDefault="00FD7A62">
            <w:pPr>
              <w:rPr>
                <w:rFonts w:cstheme="minorHAnsi"/>
                <w:lang w:val="ro-RO"/>
              </w:rPr>
            </w:pPr>
          </w:p>
        </w:tc>
        <w:tc>
          <w:tcPr>
            <w:tcW w:w="4950" w:type="dxa"/>
            <w:hideMark/>
          </w:tcPr>
          <w:p w14:paraId="54C010F7" w14:textId="250DECCE" w:rsidR="0027401B" w:rsidRPr="00931287" w:rsidRDefault="00FD7A62" w:rsidP="00B907F3">
            <w:pPr>
              <w:jc w:val="both"/>
              <w:rPr>
                <w:rFonts w:cstheme="minorHAnsi"/>
                <w:b/>
                <w:bCs/>
                <w:u w:val="single"/>
                <w:lang w:val="ro-RO"/>
              </w:rPr>
            </w:pPr>
            <w:r w:rsidRPr="00FD7A62">
              <w:rPr>
                <w:rFonts w:cstheme="minorHAnsi"/>
                <w:lang w:val="ro-RO"/>
              </w:rPr>
              <w:t>Totodată, menționăm faptul că, în urma analizei documentului, s-a constatat că, la s</w:t>
            </w:r>
            <w:r w:rsidRPr="00FD7A62">
              <w:rPr>
                <w:rFonts w:cstheme="minorHAnsi"/>
                <w:b/>
                <w:bCs/>
                <w:u w:val="single"/>
                <w:lang w:val="ro-RO"/>
              </w:rPr>
              <w:t xml:space="preserve">ecțiunile de descriere a tipurilor de intervenții aferente celor </w:t>
            </w:r>
            <w:r w:rsidRPr="00FD7A62">
              <w:rPr>
                <w:rFonts w:cstheme="minorHAnsi"/>
                <w:b/>
                <w:bCs/>
                <w:u w:val="single"/>
                <w:lang w:val="ro-RO"/>
              </w:rPr>
              <w:lastRenderedPageBreak/>
              <w:t>două obiective specifice ale Priorității 6: 0 regiune atractivă, nu se face nicio mențiune cu privire la nevoia de asigurare a securității cetățenilor și nici cu privire la tipurile de acțiuni concrete care vor fi sprijinite în acest sens.</w:t>
            </w:r>
            <w:r w:rsidRPr="00FD7A62">
              <w:rPr>
                <w:rFonts w:cstheme="minorHAnsi"/>
                <w:lang w:val="ro-RO"/>
              </w:rPr>
              <w:br/>
              <w:t xml:space="preserve">Față de cele aceste aspecte, precizăm că </w:t>
            </w:r>
            <w:r w:rsidRPr="00FD7A62">
              <w:rPr>
                <w:rFonts w:cstheme="minorHAnsi"/>
                <w:b/>
                <w:bCs/>
                <w:lang w:val="ro-RO"/>
              </w:rPr>
              <w:t>una dintre măsurile cuprinse în P/anv/ de acțiuni a/ Parteneriatului pentru Agenda urbană a UE privind Securitatea Spațiiior Publice</w:t>
            </w:r>
            <w:r w:rsidRPr="00FD7A62">
              <w:rPr>
                <w:rFonts w:cstheme="minorHAnsi"/>
                <w:lang w:val="ro-RO"/>
              </w:rPr>
              <w:t xml:space="preserve">, prin care sunt puse la dispoziția autorităților locale și regionale </w:t>
            </w:r>
            <w:r w:rsidRPr="00FD7A62">
              <w:rPr>
                <w:rFonts w:cstheme="minorHAnsi"/>
                <w:b/>
                <w:bCs/>
                <w:lang w:val="ro-RO"/>
              </w:rPr>
              <w:t>propuneri de acțiuni și soluții pentru asigurarea securității cetățenilor, vizează modalitatea de alocare a finanțării europene, aferentă perioadei de programare 2021- 2027, pentru susținerea acțiunilor de asigurare a securității spațiilor publice</w:t>
            </w:r>
            <w:r w:rsidRPr="00FD7A62">
              <w:rPr>
                <w:rFonts w:cstheme="minorHAnsi"/>
                <w:lang w:val="ro-RO"/>
              </w:rPr>
              <w:t>. În acest sens, este punctat faptul că problematica securității este finanțată, pentru prima dată, prin FEDR, iar investițiile realizate prin acest fond ar trebui să contribuie la realizarea obiectivelor specifice privind creşterea securității în zonele urbane și rurale.</w:t>
            </w:r>
            <w:r w:rsidRPr="00FD7A62">
              <w:rPr>
                <w:rFonts w:cstheme="minorHAnsi"/>
                <w:lang w:val="ro-RO"/>
              </w:rPr>
              <w:br/>
              <w:t xml:space="preserve">Având în vedere posibilitatea de a finanța, prin FEDR, investiții în securitate și echipamentele aferente, precum și recomandarea adresată autorităților de management, de Parteneriatul stabilit la nivelul UE pentru Securitatea în Spațiile Publice, de a încuraja finanțarea proiectelor orientate spre securitate și de a permite autorităților locale și regionale includerea problematicii securității în strategiile de dezvoltare locală sau teritorială integrată, </w:t>
            </w:r>
            <w:r w:rsidRPr="00FD7A62">
              <w:rPr>
                <w:rFonts w:cstheme="minorHAnsi"/>
                <w:b/>
                <w:bCs/>
                <w:u w:val="single"/>
                <w:lang w:val="ro-RO"/>
              </w:rPr>
              <w:t xml:space="preserve">apreciem necesară descrierea în POR Sud Muntenia a problemelor întâmpinate în zonele urbane și rurale în asigurarea securității cetățenilor, în contextul creșterii </w:t>
            </w:r>
            <w:r w:rsidRPr="00FD7A62">
              <w:rPr>
                <w:rFonts w:cstheme="minorHAnsi"/>
                <w:b/>
                <w:bCs/>
                <w:u w:val="single"/>
                <w:lang w:val="ro-RO"/>
              </w:rPr>
              <w:lastRenderedPageBreak/>
              <w:t>criminalității și acțiunilor teroriste, precum și defnirea expresă a tipurilor de acțiuni care pot fi susținute prin finanțare.</w:t>
            </w:r>
          </w:p>
        </w:tc>
        <w:tc>
          <w:tcPr>
            <w:tcW w:w="4593" w:type="dxa"/>
            <w:hideMark/>
          </w:tcPr>
          <w:p w14:paraId="6757B955" w14:textId="1A3D78DA" w:rsidR="00FD7A62" w:rsidRPr="00FD7A62" w:rsidRDefault="00FD7A62" w:rsidP="00B907F3">
            <w:pPr>
              <w:jc w:val="both"/>
              <w:rPr>
                <w:rFonts w:cstheme="minorHAnsi"/>
                <w:lang w:val="ro-RO"/>
              </w:rPr>
            </w:pPr>
            <w:r w:rsidRPr="00FD7A62">
              <w:rPr>
                <w:rFonts w:cstheme="minorHAnsi"/>
                <w:lang w:val="ro-RO"/>
              </w:rPr>
              <w:lastRenderedPageBreak/>
              <w:t xml:space="preserve">Propunerea a fost luată în considerare prin modificarea acțiunii indicative privind regenerarea urbană din cadrul </w:t>
            </w:r>
            <w:r w:rsidRPr="00FD7A62">
              <w:rPr>
                <w:rFonts w:cstheme="minorHAnsi"/>
                <w:b/>
                <w:bCs/>
                <w:lang w:val="ro-RO"/>
              </w:rPr>
              <w:t xml:space="preserve">Priorității 6 - O </w:t>
            </w:r>
            <w:r w:rsidRPr="00FD7A62">
              <w:rPr>
                <w:rFonts w:cstheme="minorHAnsi"/>
                <w:b/>
                <w:bCs/>
                <w:lang w:val="ro-RO"/>
              </w:rPr>
              <w:lastRenderedPageBreak/>
              <w:t>regiune atractivă</w:t>
            </w:r>
            <w:r w:rsidRPr="00FD7A62">
              <w:rPr>
                <w:rFonts w:cstheme="minorHAnsi"/>
                <w:lang w:val="ro-RO"/>
              </w:rPr>
              <w:t>, astfel: "</w:t>
            </w:r>
            <w:r w:rsidRPr="00FD7A62">
              <w:rPr>
                <w:rFonts w:cstheme="minorHAnsi"/>
                <w:i/>
                <w:iCs/>
                <w:lang w:val="ro-RO"/>
              </w:rPr>
              <w:t>Investiții de regenerare urbană (creare/modernizare/reabilitare/extindere/dotare) în spațiile destinate utilizării publice (parcuri, zone verzi de mici dimensiuni, piațete, scuaruri, piețe publice, locuri de joacă pentru copii, etc.) prin demolarea clădirilor/structurilor situate pe terenurile supuse intervențiilor, amenajarea spațiilor verzi (aducerea terenului la starea inițială; modelarea terenului; montarea elementelor constructive de tipul alei, foișoare, pergole, grilaje etc.; plantarea/gazonarea suprafețelor, inclusiv plantare arbori), precum și crearea de facilități pentru activități sportive și recreaționale de mici dimensiuni (ex. terenuri de sport, etc.), instalare rețele Wi-Fi, iluminat public și</w:t>
            </w:r>
            <w:r w:rsidRPr="00FD7A62">
              <w:rPr>
                <w:rFonts w:cstheme="minorHAnsi"/>
                <w:b/>
                <w:bCs/>
                <w:i/>
                <w:iCs/>
                <w:lang w:val="ro-RO"/>
              </w:rPr>
              <w:t xml:space="preserve"> supraveghere video în spațiile publice</w:t>
            </w:r>
            <w:r w:rsidRPr="00FD7A62">
              <w:rPr>
                <w:rFonts w:cstheme="minorHAnsi"/>
                <w:i/>
                <w:iCs/>
                <w:lang w:val="ro-RO"/>
              </w:rPr>
              <w:t>, dotare cu mobilier urban (bănci, coșuri de gunoi, etc.)</w:t>
            </w:r>
            <w:r w:rsidRPr="00FD7A62">
              <w:rPr>
                <w:rFonts w:cstheme="minorHAnsi"/>
                <w:lang w:val="ro-RO"/>
              </w:rPr>
              <w:t>". De asemenea, activi</w:t>
            </w:r>
            <w:r w:rsidR="00B907F3">
              <w:rPr>
                <w:rFonts w:cstheme="minorHAnsi"/>
                <w:lang w:val="ro-RO"/>
              </w:rPr>
              <w:t>tă</w:t>
            </w:r>
            <w:r w:rsidRPr="00FD7A62">
              <w:rPr>
                <w:rFonts w:cstheme="minorHAnsi"/>
                <w:lang w:val="ro-RO"/>
              </w:rPr>
              <w:t xml:space="preserve">țile de siguranță publică sunt sprijinite și prin </w:t>
            </w:r>
            <w:r w:rsidRPr="00FD7A62">
              <w:rPr>
                <w:rFonts w:cstheme="minorHAnsi"/>
                <w:b/>
                <w:bCs/>
                <w:i/>
                <w:iCs/>
                <w:lang w:val="ro-RO"/>
              </w:rPr>
              <w:t>Prioritatea 1 - O regiune competitivă prin inovare, digitalizare și întreprinderi dinamice</w:t>
            </w:r>
            <w:r w:rsidRPr="00FD7A62">
              <w:rPr>
                <w:rFonts w:cstheme="minorHAnsi"/>
                <w:lang w:val="ro-RO"/>
              </w:rPr>
              <w:t>,  acțiunea indicativă "</w:t>
            </w:r>
            <w:r w:rsidRPr="00FD7A62">
              <w:rPr>
                <w:rFonts w:cstheme="minorHAnsi"/>
                <w:i/>
                <w:iCs/>
                <w:lang w:val="ro-RO"/>
              </w:rPr>
              <w:t xml:space="preserve">Valorificarea avantajelor digitalizării prin dezvoltarea de servicii pentru </w:t>
            </w:r>
            <w:r w:rsidRPr="00FD7A62">
              <w:rPr>
                <w:rFonts w:cstheme="minorHAnsi"/>
                <w:b/>
                <w:bCs/>
                <w:i/>
                <w:iCs/>
                <w:lang w:val="ro-RO"/>
              </w:rPr>
              <w:t>siguranța și în beneficiul cetățenilor</w:t>
            </w:r>
            <w:r w:rsidRPr="00FD7A62">
              <w:rPr>
                <w:rFonts w:cstheme="minorHAnsi"/>
                <w:i/>
                <w:iCs/>
                <w:lang w:val="ro-RO"/>
              </w:rPr>
              <w:t>, al mediului de afaceri și de cercetare și al autorităților și instituțiilor publice locale/centrale, inclusiv asigurarea securitatii cibernetice si interoperabilității acestora, prin dezvoltarea infrastructurii, serviciilor și echipamentelor necesare relevante, precum și prin achiziționarea, dezvoltarea, testarea și pilotarea de soluții și aplicații</w:t>
            </w:r>
            <w:r w:rsidRPr="00FD7A62">
              <w:rPr>
                <w:rFonts w:cstheme="minorHAnsi"/>
                <w:lang w:val="ro-RO"/>
              </w:rPr>
              <w:t xml:space="preserve">".  </w:t>
            </w:r>
          </w:p>
        </w:tc>
      </w:tr>
      <w:tr w:rsidR="00FD7A62" w:rsidRPr="00FD7A62" w14:paraId="5F14D7B7" w14:textId="77777777" w:rsidTr="00931287">
        <w:trPr>
          <w:trHeight w:val="1125"/>
        </w:trPr>
        <w:tc>
          <w:tcPr>
            <w:tcW w:w="596" w:type="dxa"/>
            <w:vMerge/>
            <w:hideMark/>
          </w:tcPr>
          <w:p w14:paraId="2FED8F58" w14:textId="77777777" w:rsidR="00FD7A62" w:rsidRPr="00FD7A62" w:rsidRDefault="00FD7A62">
            <w:pPr>
              <w:rPr>
                <w:rFonts w:cstheme="minorHAnsi"/>
                <w:lang w:val="ro-RO"/>
              </w:rPr>
            </w:pPr>
          </w:p>
        </w:tc>
        <w:tc>
          <w:tcPr>
            <w:tcW w:w="1333" w:type="dxa"/>
            <w:vMerge/>
            <w:hideMark/>
          </w:tcPr>
          <w:p w14:paraId="47A0DF49" w14:textId="77777777" w:rsidR="00FD7A62" w:rsidRPr="00FD7A62" w:rsidRDefault="00FD7A62">
            <w:pPr>
              <w:rPr>
                <w:rFonts w:cstheme="minorHAnsi"/>
                <w:lang w:val="ro-RO"/>
              </w:rPr>
            </w:pPr>
          </w:p>
        </w:tc>
        <w:tc>
          <w:tcPr>
            <w:tcW w:w="1043" w:type="dxa"/>
            <w:vMerge/>
            <w:hideMark/>
          </w:tcPr>
          <w:p w14:paraId="01A2D5D4" w14:textId="77777777" w:rsidR="00FD7A62" w:rsidRPr="00FD7A62" w:rsidRDefault="00FD7A62">
            <w:pPr>
              <w:rPr>
                <w:rFonts w:cstheme="minorHAnsi"/>
                <w:lang w:val="ro-RO"/>
              </w:rPr>
            </w:pPr>
          </w:p>
        </w:tc>
        <w:tc>
          <w:tcPr>
            <w:tcW w:w="1433" w:type="dxa"/>
            <w:vMerge/>
            <w:hideMark/>
          </w:tcPr>
          <w:p w14:paraId="5EF1E57A" w14:textId="77777777" w:rsidR="00FD7A62" w:rsidRPr="00FD7A62" w:rsidRDefault="00FD7A62">
            <w:pPr>
              <w:rPr>
                <w:rFonts w:cstheme="minorHAnsi"/>
                <w:lang w:val="ro-RO"/>
              </w:rPr>
            </w:pPr>
          </w:p>
        </w:tc>
        <w:tc>
          <w:tcPr>
            <w:tcW w:w="4950" w:type="dxa"/>
            <w:hideMark/>
          </w:tcPr>
          <w:p w14:paraId="00FD73C2" w14:textId="77777777" w:rsidR="00FD7A62" w:rsidRPr="00FD7A62" w:rsidRDefault="00FD7A62" w:rsidP="00B907F3">
            <w:pPr>
              <w:jc w:val="both"/>
              <w:rPr>
                <w:rFonts w:cstheme="minorHAnsi"/>
                <w:lang w:val="ro-RO"/>
              </w:rPr>
            </w:pPr>
            <w:r w:rsidRPr="00FD7A62">
              <w:rPr>
                <w:rFonts w:cstheme="minorHAnsi"/>
                <w:lang w:val="ro-RO"/>
              </w:rPr>
              <w:t xml:space="preserve">În final menționăm faptul că, în urma analizării proiectelor Programelor Operaționale Regionale aferente perioadei 2021-2027, s-a constatat că </w:t>
            </w:r>
            <w:r w:rsidRPr="00FD7A62">
              <w:rPr>
                <w:rFonts w:cstheme="minorHAnsi"/>
                <w:b/>
                <w:bCs/>
                <w:lang w:val="ro-RO"/>
              </w:rPr>
              <w:t>Principalele grupuri țintă, aferente unui obiectiv strategic, nu sunt prezentate într-o manieră unitară la nivelul celor 8 documente.</w:t>
            </w:r>
            <w:r w:rsidRPr="00FD7A62">
              <w:rPr>
                <w:rFonts w:cstheme="minorHAnsi"/>
                <w:lang w:val="ro-RO"/>
              </w:rPr>
              <w:br/>
              <w:t>În acest sens, a</w:t>
            </w:r>
            <w:r w:rsidRPr="00FD7A62">
              <w:rPr>
                <w:rFonts w:cstheme="minorHAnsi"/>
                <w:b/>
                <w:bCs/>
                <w:u w:val="single"/>
                <w:lang w:val="ro-RO"/>
              </w:rPr>
              <w:t xml:space="preserve">preciem că secțiunea Principalele grupuri țintă aferentă unui anumit obiectiv specific (spre exemplu, Obiectivul specific - OS.2.i Promovarea eficienței energetice și reducerea emisiilor de gaze cu efect de seră) ar trebui să fie formulată în aceeaşi manieră și să conțină acelaşi tip de informații în toate cele 8 POR-uri. </w:t>
            </w:r>
            <w:r w:rsidRPr="00FD7A62">
              <w:rPr>
                <w:rFonts w:cstheme="minorHAnsi"/>
                <w:lang w:val="ro-RO"/>
              </w:rPr>
              <w:t>În formele actuale ale documentelor, acestea sunt descrise diferit, în ciuda faptului că grupurile țintă corespund aceluiași obiectiv specific și aceluiași tip de intervenție, fiind necesară uniformizarea acestor prevederi, pentru a asigura condiții echitabile de eligibilitate pentru potențialii beneficiari în cadrul procesului de evaluare, indiferent de regiunea de dezvoltare în care se află, precum și pentru a se evita interpretări punctuale ale acestor norme.</w:t>
            </w:r>
          </w:p>
        </w:tc>
        <w:tc>
          <w:tcPr>
            <w:tcW w:w="4593" w:type="dxa"/>
            <w:hideMark/>
          </w:tcPr>
          <w:p w14:paraId="164E90C7" w14:textId="77777777" w:rsidR="00FD7A62" w:rsidRPr="00FD7A62" w:rsidRDefault="00FD7A62" w:rsidP="00A47879">
            <w:pPr>
              <w:jc w:val="both"/>
              <w:rPr>
                <w:rFonts w:cstheme="minorHAnsi"/>
                <w:lang w:val="ro-RO"/>
              </w:rPr>
            </w:pPr>
            <w:r w:rsidRPr="00FD7A62">
              <w:rPr>
                <w:rFonts w:cstheme="minorHAnsi"/>
                <w:lang w:val="ro-RO"/>
              </w:rPr>
              <w:t xml:space="preserve">În ceea ce privește prezentarea unitară a programelor regionale, precizăm că la baza procesului de descentralizare a procesului de programare a fondurilor destinate dezvoltării regionale în România s-a aflat necesitatea ca acest proces să poată răspunde nevoilor și soluțiilor adaptate specificului fiecărei regiuni în parte. </w:t>
            </w:r>
            <w:r w:rsidRPr="00FD7A62">
              <w:rPr>
                <w:rFonts w:cstheme="minorHAnsi"/>
                <w:lang w:val="ro-RO"/>
              </w:rPr>
              <w:br/>
              <w:t xml:space="preserve">                                                                                                                                                                          </w:t>
            </w:r>
          </w:p>
        </w:tc>
      </w:tr>
    </w:tbl>
    <w:p w14:paraId="2D9165DF" w14:textId="77777777" w:rsidR="00FD7A62" w:rsidRPr="00FD7A62" w:rsidRDefault="00FD7A62">
      <w:pPr>
        <w:rPr>
          <w:lang w:val="ro-RO"/>
        </w:rPr>
      </w:pPr>
    </w:p>
    <w:sectPr w:rsidR="00FD7A62" w:rsidRPr="00FD7A62" w:rsidSect="00FD7A62">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50C5" w14:textId="77777777" w:rsidR="004E1841" w:rsidRDefault="004E1841" w:rsidP="00B907F3">
      <w:pPr>
        <w:spacing w:after="0" w:line="240" w:lineRule="auto"/>
      </w:pPr>
      <w:r>
        <w:separator/>
      </w:r>
    </w:p>
  </w:endnote>
  <w:endnote w:type="continuationSeparator" w:id="0">
    <w:p w14:paraId="3CCFE0BC" w14:textId="77777777" w:rsidR="004E1841" w:rsidRDefault="004E1841" w:rsidP="00B9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83035"/>
      <w:docPartObj>
        <w:docPartGallery w:val="Page Numbers (Bottom of Page)"/>
        <w:docPartUnique/>
      </w:docPartObj>
    </w:sdtPr>
    <w:sdtEndPr>
      <w:rPr>
        <w:noProof/>
      </w:rPr>
    </w:sdtEndPr>
    <w:sdtContent>
      <w:p w14:paraId="16C89A35" w14:textId="652AB5FE" w:rsidR="00B907F3" w:rsidRDefault="00B907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C4ABF3" w14:textId="77777777" w:rsidR="00B907F3" w:rsidRDefault="00B90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C11A" w14:textId="77777777" w:rsidR="004E1841" w:rsidRDefault="004E1841" w:rsidP="00B907F3">
      <w:pPr>
        <w:spacing w:after="0" w:line="240" w:lineRule="auto"/>
      </w:pPr>
      <w:r>
        <w:separator/>
      </w:r>
    </w:p>
  </w:footnote>
  <w:footnote w:type="continuationSeparator" w:id="0">
    <w:p w14:paraId="64D5AE31" w14:textId="77777777" w:rsidR="004E1841" w:rsidRDefault="004E1841" w:rsidP="00B9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D4D4" w14:textId="707A699E" w:rsidR="002965A6" w:rsidRDefault="002965A6" w:rsidP="002965A6">
    <w:pPr>
      <w:pStyle w:val="Header"/>
      <w:jc w:val="center"/>
    </w:pPr>
    <w:r>
      <w:rPr>
        <w:noProof/>
      </w:rPr>
      <w:drawing>
        <wp:inline distT="0" distB="0" distL="0" distR="0" wp14:anchorId="0C0D3BF9" wp14:editId="566C3967">
          <wp:extent cx="1998733" cy="640774"/>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582" cy="6468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8A"/>
    <w:rsid w:val="000D5D06"/>
    <w:rsid w:val="001922DF"/>
    <w:rsid w:val="00254F33"/>
    <w:rsid w:val="0027401B"/>
    <w:rsid w:val="002965A6"/>
    <w:rsid w:val="002F2384"/>
    <w:rsid w:val="004523A1"/>
    <w:rsid w:val="004D0C64"/>
    <w:rsid w:val="004E1841"/>
    <w:rsid w:val="00511180"/>
    <w:rsid w:val="00551FD6"/>
    <w:rsid w:val="005B392F"/>
    <w:rsid w:val="007008C3"/>
    <w:rsid w:val="00931287"/>
    <w:rsid w:val="00A0528B"/>
    <w:rsid w:val="00A47879"/>
    <w:rsid w:val="00A70CDA"/>
    <w:rsid w:val="00B907F3"/>
    <w:rsid w:val="00CD068A"/>
    <w:rsid w:val="00D45F33"/>
    <w:rsid w:val="00F4124F"/>
    <w:rsid w:val="00FD4AE0"/>
    <w:rsid w:val="00FD7A62"/>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F0F1"/>
  <w15:chartTrackingRefBased/>
  <w15:docId w15:val="{4BF7F29B-DAFA-4EFD-B7AC-3B1F32D9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7F3"/>
  </w:style>
  <w:style w:type="paragraph" w:styleId="Footer">
    <w:name w:val="footer"/>
    <w:basedOn w:val="Normal"/>
    <w:link w:val="FooterChar"/>
    <w:uiPriority w:val="99"/>
    <w:unhideWhenUsed/>
    <w:rsid w:val="00B9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Vision Oachesu</dc:creator>
  <cp:keywords/>
  <dc:description/>
  <cp:lastModifiedBy>Gilda Nic</cp:lastModifiedBy>
  <cp:revision>2</cp:revision>
  <dcterms:created xsi:type="dcterms:W3CDTF">2021-12-15T12:07:00Z</dcterms:created>
  <dcterms:modified xsi:type="dcterms:W3CDTF">2021-12-15T12:07:00Z</dcterms:modified>
</cp:coreProperties>
</file>